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5D5C20" w14:textId="43035AFC" w:rsidR="007C3484" w:rsidRPr="00C97803" w:rsidRDefault="007C3484" w:rsidP="007C3484">
      <w:pPr>
        <w:autoSpaceDE w:val="0"/>
        <w:autoSpaceDN w:val="0"/>
        <w:adjustRightInd w:val="0"/>
        <w:spacing w:after="0" w:line="240" w:lineRule="auto"/>
        <w:rPr>
          <w:rFonts w:cstheme="minorHAnsi"/>
          <w:color w:val="385623" w:themeColor="accent6" w:themeShade="80"/>
          <w:sz w:val="28"/>
          <w:szCs w:val="28"/>
        </w:rPr>
      </w:pPr>
      <w:r>
        <w:rPr>
          <w:rFonts w:cstheme="minorHAnsi"/>
          <w:b/>
          <w:bCs/>
          <w:color w:val="4472C4" w:themeColor="accent1"/>
          <w:sz w:val="28"/>
          <w:szCs w:val="28"/>
        </w:rPr>
        <w:t>Screening Statement</w:t>
      </w:r>
      <w:r>
        <w:rPr>
          <w:rFonts w:cstheme="minorHAnsi"/>
          <w:color w:val="4472C4" w:themeColor="accent1"/>
          <w:sz w:val="28"/>
          <w:szCs w:val="28"/>
        </w:rPr>
        <w:t xml:space="preserve"> for </w:t>
      </w:r>
      <w:r>
        <w:rPr>
          <w:rFonts w:cstheme="minorHAnsi"/>
          <w:b/>
          <w:bCs/>
          <w:color w:val="4472C4" w:themeColor="accent1"/>
          <w:sz w:val="28"/>
          <w:szCs w:val="28"/>
        </w:rPr>
        <w:t>Appropriate Assessment (</w:t>
      </w:r>
      <w:r w:rsidR="00566D05">
        <w:rPr>
          <w:rFonts w:cstheme="minorHAnsi"/>
          <w:b/>
          <w:bCs/>
          <w:color w:val="4472C4" w:themeColor="accent1"/>
          <w:sz w:val="28"/>
          <w:szCs w:val="28"/>
        </w:rPr>
        <w:t>A</w:t>
      </w:r>
      <w:r>
        <w:rPr>
          <w:rFonts w:cstheme="minorHAnsi"/>
          <w:b/>
          <w:bCs/>
          <w:color w:val="4472C4" w:themeColor="accent1"/>
          <w:sz w:val="28"/>
          <w:szCs w:val="28"/>
        </w:rPr>
        <w:t>A)</w:t>
      </w:r>
      <w:r w:rsidR="00C97803">
        <w:rPr>
          <w:rFonts w:cstheme="minorHAnsi"/>
          <w:b/>
          <w:bCs/>
          <w:color w:val="4472C4" w:themeColor="accent1"/>
          <w:sz w:val="28"/>
          <w:szCs w:val="28"/>
        </w:rPr>
        <w:t xml:space="preserve"> </w:t>
      </w:r>
      <w:r w:rsidR="00C97803" w:rsidRPr="00C97803">
        <w:rPr>
          <w:rFonts w:cstheme="minorHAnsi"/>
          <w:color w:val="4472C4" w:themeColor="accent1"/>
          <w:sz w:val="28"/>
          <w:szCs w:val="28"/>
        </w:rPr>
        <w:t>of</w:t>
      </w:r>
      <w:r w:rsidRPr="007C3484">
        <w:rPr>
          <w:rFonts w:cstheme="minorHAnsi"/>
          <w:color w:val="385623" w:themeColor="accent6" w:themeShade="80"/>
          <w:sz w:val="28"/>
          <w:szCs w:val="28"/>
        </w:rPr>
        <w:t xml:space="preserve"> </w:t>
      </w:r>
      <w:r>
        <w:rPr>
          <w:rFonts w:cstheme="minorHAnsi"/>
          <w:b/>
          <w:bCs/>
          <w:color w:val="4472C4" w:themeColor="accent1"/>
          <w:sz w:val="28"/>
          <w:szCs w:val="28"/>
        </w:rPr>
        <w:t xml:space="preserve">Proposed Amendments </w:t>
      </w:r>
      <w:r>
        <w:rPr>
          <w:rFonts w:cstheme="minorHAnsi"/>
          <w:color w:val="4472C4" w:themeColor="accent1"/>
          <w:sz w:val="28"/>
          <w:szCs w:val="28"/>
        </w:rPr>
        <w:t>to the</w:t>
      </w:r>
      <w:r>
        <w:rPr>
          <w:rFonts w:cstheme="minorHAnsi"/>
          <w:b/>
          <w:bCs/>
          <w:color w:val="4472C4" w:themeColor="accent1"/>
          <w:sz w:val="28"/>
          <w:szCs w:val="28"/>
        </w:rPr>
        <w:t xml:space="preserve"> Adamstown SDZ Planning Scheme, 2014</w:t>
      </w:r>
    </w:p>
    <w:p w14:paraId="0AA3F5F8" w14:textId="77777777" w:rsidR="007C3484" w:rsidRDefault="007C3484" w:rsidP="007C3484">
      <w:pPr>
        <w:rPr>
          <w:color w:val="4472C4" w:themeColor="accent1"/>
        </w:rPr>
      </w:pPr>
    </w:p>
    <w:p w14:paraId="4F1FE35D" w14:textId="77777777" w:rsidR="007C3484" w:rsidRPr="00C97803" w:rsidRDefault="007C3484" w:rsidP="007C3484">
      <w:pPr>
        <w:pStyle w:val="ListParagraph"/>
        <w:numPr>
          <w:ilvl w:val="0"/>
          <w:numId w:val="1"/>
        </w:numPr>
        <w:rPr>
          <w:color w:val="4472C4" w:themeColor="accent1"/>
          <w:sz w:val="24"/>
          <w:szCs w:val="24"/>
          <w:lang w:val="en-GB"/>
        </w:rPr>
      </w:pPr>
      <w:r w:rsidRPr="00C97803">
        <w:rPr>
          <w:color w:val="4472C4" w:themeColor="accent1"/>
          <w:sz w:val="24"/>
          <w:szCs w:val="24"/>
          <w:lang w:val="en-GB"/>
        </w:rPr>
        <w:t>Introduction</w:t>
      </w:r>
    </w:p>
    <w:p w14:paraId="60E68209" w14:textId="77777777" w:rsidR="00803BA7" w:rsidRDefault="007C3484" w:rsidP="00803BA7">
      <w:pPr>
        <w:pStyle w:val="Default"/>
        <w:ind w:left="720"/>
        <w:rPr>
          <w:rFonts w:asciiTheme="minorHAnsi" w:hAnsiTheme="minorHAnsi" w:cstheme="minorHAnsi"/>
          <w:color w:val="auto"/>
          <w:lang w:val="en-GB"/>
        </w:rPr>
      </w:pPr>
      <w:r w:rsidRPr="00C97803">
        <w:rPr>
          <w:rFonts w:asciiTheme="minorHAnsi" w:hAnsiTheme="minorHAnsi" w:cstheme="minorHAnsi"/>
          <w:color w:val="auto"/>
          <w:lang w:val="en-GB"/>
        </w:rPr>
        <w:t xml:space="preserve">The Adamstown SDZ Planning Scheme (2014) comprises 223.5 hectares of land located in West Dublin, south of Lucan and the N4 national primary road, and north of the railway line from Dublin to the South and West of Ireland (see Figure 1).   The SDZ Planning Scheme divides the plan lands into eleven development areas or ‘tiles’ and sets out parameters for development within each area.  </w:t>
      </w:r>
    </w:p>
    <w:p w14:paraId="507606A8" w14:textId="77777777" w:rsidR="00803BA7" w:rsidRDefault="00803BA7" w:rsidP="00C97803">
      <w:pPr>
        <w:pStyle w:val="Default"/>
        <w:rPr>
          <w:rFonts w:asciiTheme="minorHAnsi" w:hAnsiTheme="minorHAnsi" w:cstheme="minorHAnsi"/>
          <w:color w:val="auto"/>
          <w:lang w:val="en-GB"/>
        </w:rPr>
      </w:pPr>
    </w:p>
    <w:p w14:paraId="23C89E9D" w14:textId="06178C82" w:rsidR="00C97803" w:rsidRPr="00C97803" w:rsidRDefault="007C3484" w:rsidP="00803BA7">
      <w:pPr>
        <w:pStyle w:val="Default"/>
        <w:ind w:left="720"/>
        <w:rPr>
          <w:rFonts w:asciiTheme="minorHAnsi" w:hAnsiTheme="minorHAnsi" w:cstheme="minorHAnsi"/>
          <w:color w:val="auto"/>
        </w:rPr>
      </w:pPr>
      <w:r w:rsidRPr="00C97803">
        <w:rPr>
          <w:rFonts w:asciiTheme="minorHAnsi" w:hAnsiTheme="minorHAnsi" w:cstheme="minorHAnsi"/>
          <w:color w:val="auto"/>
          <w:lang w:val="en-GB"/>
        </w:rPr>
        <w:t>The original Adamstown SDZ Planning Scheme (2003) was reviewed and amended in 2014 and at that point</w:t>
      </w:r>
      <w:r w:rsidR="00C97803" w:rsidRPr="00C97803">
        <w:rPr>
          <w:rFonts w:asciiTheme="minorHAnsi" w:hAnsiTheme="minorHAnsi" w:cstheme="minorHAnsi"/>
          <w:color w:val="auto"/>
          <w:lang w:val="en-GB"/>
        </w:rPr>
        <w:t>, i</w:t>
      </w:r>
      <w:r w:rsidR="00C97803" w:rsidRPr="00C97803">
        <w:rPr>
          <w:rFonts w:asciiTheme="minorHAnsi" w:hAnsiTheme="minorHAnsi" w:cstheme="minorHAnsi"/>
          <w:color w:val="auto"/>
        </w:rPr>
        <w:t xml:space="preserve">t was determined that an Appropriate Assessment of the Planning Scheme and Draft Amendments was not required having regard to: </w:t>
      </w:r>
    </w:p>
    <w:p w14:paraId="6279BEC8" w14:textId="45058A8D" w:rsidR="00C97803" w:rsidRPr="00C97803" w:rsidRDefault="00C97803" w:rsidP="00887877">
      <w:pPr>
        <w:pStyle w:val="Default"/>
        <w:numPr>
          <w:ilvl w:val="0"/>
          <w:numId w:val="4"/>
        </w:numPr>
        <w:spacing w:after="19"/>
        <w:rPr>
          <w:rFonts w:asciiTheme="minorHAnsi" w:hAnsiTheme="minorHAnsi" w:cstheme="minorHAnsi"/>
          <w:color w:val="auto"/>
        </w:rPr>
      </w:pPr>
      <w:r w:rsidRPr="00C97803">
        <w:rPr>
          <w:rFonts w:asciiTheme="minorHAnsi" w:hAnsiTheme="minorHAnsi" w:cstheme="minorHAnsi"/>
          <w:color w:val="auto"/>
        </w:rPr>
        <w:t xml:space="preserve">The AA Screening Report (October 2013) and Addendum to the Screening Report (January 2014); </w:t>
      </w:r>
    </w:p>
    <w:p w14:paraId="7398DF03" w14:textId="0ACA278F" w:rsidR="00C97803" w:rsidRPr="00C97803" w:rsidRDefault="00C97803" w:rsidP="00887877">
      <w:pPr>
        <w:pStyle w:val="Default"/>
        <w:numPr>
          <w:ilvl w:val="0"/>
          <w:numId w:val="4"/>
        </w:numPr>
        <w:spacing w:after="19"/>
        <w:rPr>
          <w:rFonts w:asciiTheme="minorHAnsi" w:hAnsiTheme="minorHAnsi" w:cstheme="minorHAnsi"/>
          <w:color w:val="auto"/>
        </w:rPr>
      </w:pPr>
      <w:r w:rsidRPr="00C97803">
        <w:rPr>
          <w:rFonts w:asciiTheme="minorHAnsi" w:hAnsiTheme="minorHAnsi" w:cstheme="minorHAnsi"/>
          <w:color w:val="auto"/>
        </w:rPr>
        <w:t xml:space="preserve">The characteristics of the Planning Scheme; </w:t>
      </w:r>
    </w:p>
    <w:p w14:paraId="4AB0668F" w14:textId="085C4CA7" w:rsidR="00C97803" w:rsidRPr="00C97803" w:rsidRDefault="00C97803" w:rsidP="00887877">
      <w:pPr>
        <w:pStyle w:val="Default"/>
        <w:numPr>
          <w:ilvl w:val="0"/>
          <w:numId w:val="4"/>
        </w:numPr>
        <w:spacing w:after="19"/>
        <w:rPr>
          <w:rFonts w:asciiTheme="minorHAnsi" w:hAnsiTheme="minorHAnsi" w:cstheme="minorHAnsi"/>
          <w:color w:val="auto"/>
        </w:rPr>
      </w:pPr>
      <w:r w:rsidRPr="00C97803">
        <w:rPr>
          <w:rFonts w:asciiTheme="minorHAnsi" w:hAnsiTheme="minorHAnsi" w:cstheme="minorHAnsi"/>
          <w:color w:val="auto"/>
        </w:rPr>
        <w:t xml:space="preserve">The objectives of the Plan to protect Natura 2000 sites and biodiversity; </w:t>
      </w:r>
    </w:p>
    <w:p w14:paraId="6C5B4826" w14:textId="57F562E1" w:rsidR="00C97803" w:rsidRPr="00C97803" w:rsidRDefault="00C97803" w:rsidP="00887877">
      <w:pPr>
        <w:pStyle w:val="Default"/>
        <w:numPr>
          <w:ilvl w:val="0"/>
          <w:numId w:val="4"/>
        </w:numPr>
        <w:spacing w:after="19"/>
        <w:rPr>
          <w:rFonts w:asciiTheme="minorHAnsi" w:hAnsiTheme="minorHAnsi" w:cstheme="minorHAnsi"/>
          <w:color w:val="auto"/>
        </w:rPr>
      </w:pPr>
      <w:r w:rsidRPr="00C97803">
        <w:rPr>
          <w:rFonts w:asciiTheme="minorHAnsi" w:hAnsiTheme="minorHAnsi" w:cstheme="minorHAnsi"/>
          <w:color w:val="auto"/>
        </w:rPr>
        <w:t xml:space="preserve">The Strategic Environmental Assessment Environmental Report prepared; and </w:t>
      </w:r>
    </w:p>
    <w:p w14:paraId="04EBCF99" w14:textId="7BDF4520" w:rsidR="00C97803" w:rsidRPr="00C97803" w:rsidRDefault="00C97803" w:rsidP="00887877">
      <w:pPr>
        <w:pStyle w:val="Default"/>
        <w:numPr>
          <w:ilvl w:val="0"/>
          <w:numId w:val="4"/>
        </w:numPr>
        <w:rPr>
          <w:rFonts w:asciiTheme="minorHAnsi" w:hAnsiTheme="minorHAnsi" w:cstheme="minorHAnsi"/>
          <w:color w:val="auto"/>
        </w:rPr>
      </w:pPr>
      <w:r w:rsidRPr="00C97803">
        <w:rPr>
          <w:rFonts w:asciiTheme="minorHAnsi" w:hAnsiTheme="minorHAnsi" w:cstheme="minorHAnsi"/>
          <w:color w:val="auto"/>
        </w:rPr>
        <w:t>The consultations with the Prescribed Bodies</w:t>
      </w:r>
      <w:r w:rsidR="00D86F89">
        <w:rPr>
          <w:rFonts w:asciiTheme="minorHAnsi" w:hAnsiTheme="minorHAnsi" w:cstheme="minorHAnsi"/>
          <w:color w:val="auto"/>
        </w:rPr>
        <w:t>.</w:t>
      </w:r>
    </w:p>
    <w:p w14:paraId="77B49082" w14:textId="6E6CFE71" w:rsidR="007C3484" w:rsidRDefault="007C3484" w:rsidP="009E625A">
      <w:pPr>
        <w:rPr>
          <w:color w:val="385623" w:themeColor="accent6" w:themeShade="80"/>
          <w:sz w:val="24"/>
          <w:szCs w:val="24"/>
          <w:lang w:val="en-GB"/>
        </w:rPr>
      </w:pPr>
    </w:p>
    <w:p w14:paraId="666A1854" w14:textId="77777777" w:rsidR="009E625A" w:rsidRPr="007C3484" w:rsidRDefault="009E625A" w:rsidP="009E625A">
      <w:pPr>
        <w:rPr>
          <w:color w:val="385623" w:themeColor="accent6" w:themeShade="80"/>
          <w:sz w:val="24"/>
          <w:szCs w:val="24"/>
          <w:lang w:val="en-GB"/>
        </w:rPr>
      </w:pPr>
    </w:p>
    <w:p w14:paraId="6518B16D" w14:textId="46E30FCC" w:rsidR="007C3484" w:rsidRPr="007C3484" w:rsidRDefault="007C3484" w:rsidP="007C3484">
      <w:pPr>
        <w:rPr>
          <w:color w:val="385623" w:themeColor="accent6" w:themeShade="80"/>
          <w:sz w:val="24"/>
          <w:szCs w:val="24"/>
          <w:lang w:val="en-GB"/>
        </w:rPr>
      </w:pPr>
      <w:r w:rsidRPr="007C3484">
        <w:rPr>
          <w:noProof/>
          <w:color w:val="385623" w:themeColor="accent6" w:themeShade="80"/>
        </w:rPr>
        <w:drawing>
          <wp:inline distT="0" distB="0" distL="0" distR="0" wp14:anchorId="3792178A" wp14:editId="6EE6F7DC">
            <wp:extent cx="5978244" cy="3590925"/>
            <wp:effectExtent l="19050" t="19050" r="2286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19829" cy="3615904"/>
                    </a:xfrm>
                    <a:prstGeom prst="rect">
                      <a:avLst/>
                    </a:prstGeom>
                    <a:noFill/>
                    <a:ln w="9525" cmpd="sng">
                      <a:solidFill>
                        <a:srgbClr val="000000"/>
                      </a:solidFill>
                      <a:miter lim="800000"/>
                      <a:headEnd/>
                      <a:tailEnd/>
                    </a:ln>
                    <a:effectLst/>
                  </pic:spPr>
                </pic:pic>
              </a:graphicData>
            </a:graphic>
          </wp:inline>
        </w:drawing>
      </w:r>
    </w:p>
    <w:p w14:paraId="7F5B9981" w14:textId="77777777" w:rsidR="007C3484" w:rsidRPr="00E0686E" w:rsidRDefault="007C3484" w:rsidP="007C3484">
      <w:pPr>
        <w:rPr>
          <w:b/>
          <w:bCs/>
          <w:sz w:val="20"/>
          <w:szCs w:val="20"/>
        </w:rPr>
      </w:pPr>
      <w:r w:rsidRPr="00E0686E">
        <w:rPr>
          <w:b/>
          <w:bCs/>
          <w:sz w:val="20"/>
          <w:szCs w:val="20"/>
        </w:rPr>
        <w:t>Fig. 1: Adamstown within the wider west Dublin context</w:t>
      </w:r>
    </w:p>
    <w:p w14:paraId="781CF42E" w14:textId="77777777" w:rsidR="007C3484" w:rsidRPr="007C3484" w:rsidRDefault="007C3484" w:rsidP="007C3484">
      <w:pPr>
        <w:pStyle w:val="ListParagraph"/>
        <w:rPr>
          <w:color w:val="385623" w:themeColor="accent6" w:themeShade="80"/>
          <w:sz w:val="24"/>
          <w:szCs w:val="24"/>
        </w:rPr>
      </w:pPr>
    </w:p>
    <w:p w14:paraId="09D06E8B" w14:textId="7A1683B3" w:rsidR="007C3484" w:rsidRPr="009E625A" w:rsidRDefault="007C3484" w:rsidP="009E625A">
      <w:pPr>
        <w:pStyle w:val="ListParagraph"/>
        <w:numPr>
          <w:ilvl w:val="0"/>
          <w:numId w:val="1"/>
        </w:numPr>
        <w:rPr>
          <w:color w:val="4472C4" w:themeColor="accent1"/>
          <w:sz w:val="24"/>
          <w:szCs w:val="24"/>
        </w:rPr>
      </w:pPr>
      <w:r w:rsidRPr="009E625A">
        <w:rPr>
          <w:color w:val="4472C4" w:themeColor="accent1"/>
          <w:sz w:val="24"/>
          <w:szCs w:val="24"/>
        </w:rPr>
        <w:lastRenderedPageBreak/>
        <w:t>Proposed Amendments</w:t>
      </w:r>
    </w:p>
    <w:p w14:paraId="1C2D7848" w14:textId="77777777" w:rsidR="007C3484" w:rsidRPr="00E0686E" w:rsidRDefault="007C3484" w:rsidP="007C3484">
      <w:pPr>
        <w:ind w:left="720"/>
        <w:rPr>
          <w:sz w:val="24"/>
          <w:szCs w:val="24"/>
        </w:rPr>
      </w:pPr>
      <w:r w:rsidRPr="00E0686E">
        <w:rPr>
          <w:sz w:val="24"/>
          <w:szCs w:val="24"/>
        </w:rPr>
        <w:t xml:space="preserve">It is now proposed to amend elements of the SDZ Planning Scheme as a result of policy and guidance within the </w:t>
      </w:r>
      <w:r w:rsidRPr="00E0686E">
        <w:rPr>
          <w:i/>
          <w:iCs/>
          <w:sz w:val="24"/>
          <w:szCs w:val="24"/>
        </w:rPr>
        <w:t xml:space="preserve">National Planning Framework, </w:t>
      </w:r>
      <w:r w:rsidRPr="00E0686E">
        <w:rPr>
          <w:sz w:val="24"/>
          <w:szCs w:val="24"/>
        </w:rPr>
        <w:t>2018</w:t>
      </w:r>
      <w:r w:rsidRPr="00E0686E">
        <w:rPr>
          <w:i/>
          <w:iCs/>
          <w:sz w:val="24"/>
          <w:szCs w:val="24"/>
        </w:rPr>
        <w:t xml:space="preserve"> </w:t>
      </w:r>
      <w:r w:rsidRPr="00E0686E">
        <w:rPr>
          <w:sz w:val="24"/>
          <w:szCs w:val="24"/>
        </w:rPr>
        <w:t xml:space="preserve">(NPF) and </w:t>
      </w:r>
      <w:r w:rsidRPr="00E0686E">
        <w:rPr>
          <w:i/>
          <w:iCs/>
          <w:sz w:val="24"/>
          <w:szCs w:val="24"/>
        </w:rPr>
        <w:t>Regional Spatial and Economic Strategy</w:t>
      </w:r>
      <w:r w:rsidRPr="00E0686E">
        <w:rPr>
          <w:sz w:val="24"/>
          <w:szCs w:val="24"/>
        </w:rPr>
        <w:t xml:space="preserve">, 2019 (RSES) relating to compact growth and sustainable development; and changes arising from new guidelines including the </w:t>
      </w:r>
      <w:bookmarkStart w:id="0" w:name="_Hlk30600687"/>
      <w:r w:rsidRPr="00E0686E">
        <w:rPr>
          <w:i/>
          <w:sz w:val="24"/>
          <w:szCs w:val="24"/>
        </w:rPr>
        <w:t>Sustainable Urban Housing: Design Standards for New Apartments, Guidelines for Planning Authoritie</w:t>
      </w:r>
      <w:r w:rsidRPr="00E0686E">
        <w:rPr>
          <w:sz w:val="24"/>
          <w:szCs w:val="24"/>
        </w:rPr>
        <w:t xml:space="preserve">s, 2018 (the ‘Apartments Guidelines’) and the Urban </w:t>
      </w:r>
      <w:r w:rsidRPr="00E0686E">
        <w:rPr>
          <w:i/>
          <w:iCs/>
          <w:sz w:val="24"/>
          <w:szCs w:val="24"/>
        </w:rPr>
        <w:t xml:space="preserve">Development and Building Heights: Guidelines for Planning Authorities, </w:t>
      </w:r>
      <w:r w:rsidRPr="00E0686E">
        <w:rPr>
          <w:sz w:val="24"/>
          <w:szCs w:val="24"/>
        </w:rPr>
        <w:t xml:space="preserve">2018 (the ‘Building Heights Guidelines’).  </w:t>
      </w:r>
      <w:bookmarkEnd w:id="0"/>
    </w:p>
    <w:p w14:paraId="176C14F6" w14:textId="77777777" w:rsidR="007C3484" w:rsidRPr="00E0686E" w:rsidRDefault="007C3484" w:rsidP="007C3484">
      <w:pPr>
        <w:ind w:left="720"/>
        <w:rPr>
          <w:sz w:val="24"/>
          <w:szCs w:val="24"/>
          <w:lang w:val="en-GB"/>
        </w:rPr>
      </w:pPr>
      <w:r w:rsidRPr="00E0686E">
        <w:rPr>
          <w:sz w:val="24"/>
          <w:szCs w:val="24"/>
          <w:lang w:val="en-GB"/>
        </w:rPr>
        <w:t>The three main amendments proposed are as follows:</w:t>
      </w:r>
    </w:p>
    <w:p w14:paraId="286CDAB0" w14:textId="77777777" w:rsidR="007C3484" w:rsidRPr="00E0686E" w:rsidRDefault="007C3484" w:rsidP="007C3484">
      <w:pPr>
        <w:pStyle w:val="ListParagraph"/>
        <w:numPr>
          <w:ilvl w:val="0"/>
          <w:numId w:val="2"/>
        </w:numPr>
        <w:rPr>
          <w:sz w:val="24"/>
          <w:szCs w:val="24"/>
        </w:rPr>
      </w:pPr>
      <w:bookmarkStart w:id="1" w:name="_Hlk31210011"/>
      <w:r w:rsidRPr="00E0686E">
        <w:rPr>
          <w:sz w:val="24"/>
          <w:szCs w:val="24"/>
          <w:lang w:val="en-GB"/>
        </w:rPr>
        <w:t>An increase in unit numbers, density and residential floor area within the Adamstown Station development area.</w:t>
      </w:r>
    </w:p>
    <w:p w14:paraId="730E6A0D" w14:textId="0BF674C5" w:rsidR="007C3484" w:rsidRPr="00E0686E" w:rsidRDefault="007C3484" w:rsidP="007C3484">
      <w:pPr>
        <w:pStyle w:val="ListParagraph"/>
        <w:numPr>
          <w:ilvl w:val="0"/>
          <w:numId w:val="2"/>
        </w:numPr>
        <w:rPr>
          <w:sz w:val="24"/>
          <w:szCs w:val="24"/>
        </w:rPr>
      </w:pPr>
      <w:r w:rsidRPr="00E0686E">
        <w:rPr>
          <w:sz w:val="24"/>
          <w:szCs w:val="24"/>
          <w:lang w:val="en-GB"/>
        </w:rPr>
        <w:t xml:space="preserve">An increase in unit numbers, density and residential floor area and a location-specific </w:t>
      </w:r>
      <w:r w:rsidR="005454ED">
        <w:rPr>
          <w:sz w:val="24"/>
          <w:szCs w:val="24"/>
          <w:lang w:val="en-GB"/>
        </w:rPr>
        <w:t xml:space="preserve">one-storey </w:t>
      </w:r>
      <w:r w:rsidRPr="00E0686E">
        <w:rPr>
          <w:sz w:val="24"/>
          <w:szCs w:val="24"/>
          <w:lang w:val="en-GB"/>
        </w:rPr>
        <w:t>increase in building height within the Aderrig development area.</w:t>
      </w:r>
    </w:p>
    <w:p w14:paraId="0B0765F1" w14:textId="77777777" w:rsidR="007C3484" w:rsidRPr="00E0686E" w:rsidRDefault="007C3484" w:rsidP="007C3484">
      <w:pPr>
        <w:pStyle w:val="ListParagraph"/>
        <w:numPr>
          <w:ilvl w:val="0"/>
          <w:numId w:val="2"/>
        </w:numPr>
        <w:rPr>
          <w:sz w:val="24"/>
          <w:szCs w:val="24"/>
        </w:rPr>
      </w:pPr>
      <w:r w:rsidRPr="00E0686E">
        <w:rPr>
          <w:sz w:val="24"/>
          <w:szCs w:val="24"/>
          <w:lang w:val="en-GB"/>
        </w:rPr>
        <w:t>Relocation of a proposed enterprise centre from the Tobermaclugg Village/Tandy’s Lane Village local centre to the Adamstown Station district centre.</w:t>
      </w:r>
    </w:p>
    <w:bookmarkEnd w:id="1"/>
    <w:p w14:paraId="35DE93B6" w14:textId="77777777" w:rsidR="007C3484" w:rsidRPr="00E0686E" w:rsidRDefault="007C3484" w:rsidP="007C3484">
      <w:pPr>
        <w:ind w:left="720"/>
        <w:rPr>
          <w:sz w:val="24"/>
          <w:szCs w:val="24"/>
        </w:rPr>
      </w:pPr>
      <w:r w:rsidRPr="00E0686E">
        <w:rPr>
          <w:sz w:val="24"/>
          <w:szCs w:val="24"/>
        </w:rPr>
        <w:t xml:space="preserve">Other minor amendments are also proposed including updated references.  Under Section 170A of the Planning and Development Act, 2000 (as amended), amendments to planning schemes must be considered by An Bord Pleanála; in this regard, South Dublin County Council is seeking that the Board considers all of the above amendments as non-material.  </w:t>
      </w:r>
    </w:p>
    <w:p w14:paraId="36D579B2" w14:textId="34F05E91" w:rsidR="007C3484" w:rsidRPr="007C3484" w:rsidRDefault="007C3484" w:rsidP="005454ED">
      <w:pPr>
        <w:spacing w:before="240" w:after="80" w:line="276" w:lineRule="auto"/>
        <w:ind w:left="720"/>
        <w:outlineLvl w:val="1"/>
        <w:rPr>
          <w:rFonts w:ascii="Calibri" w:eastAsia="Times New Roman" w:hAnsi="Calibri" w:cs="Times New Roman"/>
          <w:smallCaps/>
          <w:color w:val="385623" w:themeColor="accent6" w:themeShade="80"/>
          <w:spacing w:val="5"/>
          <w:sz w:val="28"/>
          <w:szCs w:val="28"/>
          <w:lang w:val="en-GB"/>
        </w:rPr>
      </w:pPr>
      <w:bookmarkStart w:id="2" w:name="_Toc35539698"/>
      <w:bookmarkStart w:id="3" w:name="_Toc498350202"/>
      <w:bookmarkStart w:id="4" w:name="_Toc497915442"/>
      <w:r w:rsidRPr="007C3484">
        <w:rPr>
          <w:noProof/>
          <w:color w:val="385623" w:themeColor="accent6" w:themeShade="80"/>
        </w:rPr>
        <w:drawing>
          <wp:inline distT="0" distB="0" distL="0" distR="0" wp14:anchorId="7A9DDE66" wp14:editId="78F2F28E">
            <wp:extent cx="5010150" cy="3507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34071" cy="3523850"/>
                    </a:xfrm>
                    <a:prstGeom prst="rect">
                      <a:avLst/>
                    </a:prstGeom>
                    <a:noFill/>
                    <a:ln>
                      <a:noFill/>
                    </a:ln>
                  </pic:spPr>
                </pic:pic>
              </a:graphicData>
            </a:graphic>
          </wp:inline>
        </w:drawing>
      </w:r>
    </w:p>
    <w:p w14:paraId="36AA6D91" w14:textId="77777777" w:rsidR="007C3484" w:rsidRPr="00E0686E" w:rsidRDefault="007C3484" w:rsidP="005454ED">
      <w:pPr>
        <w:autoSpaceDE w:val="0"/>
        <w:autoSpaceDN w:val="0"/>
        <w:adjustRightInd w:val="0"/>
        <w:spacing w:after="0" w:line="240" w:lineRule="auto"/>
        <w:ind w:left="720"/>
        <w:rPr>
          <w:rFonts w:cstheme="minorHAnsi"/>
          <w:b/>
          <w:bCs/>
          <w:sz w:val="20"/>
          <w:szCs w:val="20"/>
        </w:rPr>
      </w:pPr>
      <w:r w:rsidRPr="00E0686E">
        <w:rPr>
          <w:rFonts w:cstheme="minorHAnsi"/>
          <w:b/>
          <w:bCs/>
          <w:sz w:val="20"/>
          <w:szCs w:val="20"/>
        </w:rPr>
        <w:t>Fig.2: Indicative layout for Adamstown SDZ Planning Scheme, 2014</w:t>
      </w:r>
    </w:p>
    <w:p w14:paraId="29F3D27F" w14:textId="75267DF1" w:rsidR="007C3484" w:rsidRPr="00087E2E" w:rsidRDefault="007C3484" w:rsidP="00087E2E">
      <w:pPr>
        <w:pStyle w:val="ListParagraph"/>
        <w:numPr>
          <w:ilvl w:val="0"/>
          <w:numId w:val="1"/>
        </w:numPr>
        <w:autoSpaceDE w:val="0"/>
        <w:autoSpaceDN w:val="0"/>
        <w:adjustRightInd w:val="0"/>
        <w:spacing w:after="0" w:line="240" w:lineRule="auto"/>
        <w:rPr>
          <w:rFonts w:cstheme="minorHAnsi"/>
          <w:color w:val="4472C4" w:themeColor="accent1"/>
          <w:sz w:val="24"/>
          <w:szCs w:val="24"/>
        </w:rPr>
      </w:pPr>
      <w:r w:rsidRPr="00087E2E">
        <w:rPr>
          <w:rFonts w:cstheme="minorHAnsi"/>
          <w:color w:val="4472C4" w:themeColor="accent1"/>
          <w:sz w:val="24"/>
          <w:szCs w:val="24"/>
        </w:rPr>
        <w:lastRenderedPageBreak/>
        <w:t xml:space="preserve">Screening for </w:t>
      </w:r>
      <w:r w:rsidR="007971D6" w:rsidRPr="00087E2E">
        <w:rPr>
          <w:rFonts w:cstheme="minorHAnsi"/>
          <w:color w:val="4472C4" w:themeColor="accent1"/>
          <w:sz w:val="24"/>
          <w:szCs w:val="24"/>
        </w:rPr>
        <w:t>Appropriate</w:t>
      </w:r>
      <w:r w:rsidRPr="00087E2E">
        <w:rPr>
          <w:rFonts w:cstheme="minorHAnsi"/>
          <w:color w:val="4472C4" w:themeColor="accent1"/>
          <w:sz w:val="24"/>
          <w:szCs w:val="24"/>
        </w:rPr>
        <w:t xml:space="preserve"> Assessment </w:t>
      </w:r>
    </w:p>
    <w:p w14:paraId="09DF2769" w14:textId="77777777" w:rsidR="007C3484" w:rsidRPr="007C3484" w:rsidRDefault="007C3484" w:rsidP="007C3484">
      <w:pPr>
        <w:autoSpaceDE w:val="0"/>
        <w:autoSpaceDN w:val="0"/>
        <w:adjustRightInd w:val="0"/>
        <w:spacing w:after="0" w:line="240" w:lineRule="auto"/>
        <w:rPr>
          <w:rFonts w:cstheme="minorHAnsi"/>
          <w:color w:val="385623" w:themeColor="accent6" w:themeShade="80"/>
          <w:sz w:val="24"/>
          <w:szCs w:val="24"/>
        </w:rPr>
      </w:pPr>
    </w:p>
    <w:p w14:paraId="67A375F0" w14:textId="35BB21D2" w:rsidR="00952063" w:rsidRDefault="00D917E7" w:rsidP="00D917E7">
      <w:pPr>
        <w:ind w:left="720"/>
        <w:rPr>
          <w:rFonts w:ascii="Calibri" w:eastAsia="Arial" w:hAnsi="Calibri" w:cs="Times New Roman"/>
          <w:spacing w:val="1"/>
          <w:sz w:val="24"/>
          <w:szCs w:val="24"/>
          <w:lang w:val="en-GB"/>
        </w:rPr>
      </w:pPr>
      <w:r w:rsidRPr="00D14DF6">
        <w:rPr>
          <w:sz w:val="24"/>
          <w:szCs w:val="24"/>
          <w:lang w:val="en-GB"/>
        </w:rPr>
        <w:t>Screenin</w:t>
      </w:r>
      <w:r>
        <w:rPr>
          <w:sz w:val="24"/>
          <w:szCs w:val="24"/>
          <w:lang w:val="en-GB"/>
        </w:rPr>
        <w:t xml:space="preserve">g for </w:t>
      </w:r>
      <w:r w:rsidRPr="00D14DF6">
        <w:rPr>
          <w:rFonts w:cstheme="minorHAnsi"/>
          <w:sz w:val="24"/>
          <w:szCs w:val="24"/>
        </w:rPr>
        <w:t>Appropriate Assessment</w:t>
      </w:r>
      <w:r>
        <w:rPr>
          <w:rFonts w:cstheme="minorHAnsi"/>
          <w:sz w:val="24"/>
          <w:szCs w:val="24"/>
        </w:rPr>
        <w:t xml:space="preserve"> (AA) was carried out by Doherty Environmental Consultants </w:t>
      </w:r>
      <w:r w:rsidRPr="00D917E7">
        <w:rPr>
          <w:rFonts w:ascii="Calibri" w:eastAsia="Arial" w:hAnsi="Calibri" w:cs="Times New Roman"/>
          <w:spacing w:val="1"/>
          <w:sz w:val="24"/>
          <w:szCs w:val="24"/>
          <w:lang w:val="en-GB"/>
        </w:rPr>
        <w:t>under Article 6(3) of the EU Habitats Directive</w:t>
      </w:r>
      <w:r w:rsidR="00952063">
        <w:rPr>
          <w:rFonts w:ascii="Calibri" w:eastAsia="Arial" w:hAnsi="Calibri" w:cs="Times New Roman"/>
          <w:spacing w:val="1"/>
          <w:sz w:val="24"/>
          <w:szCs w:val="24"/>
          <w:lang w:val="en-GB"/>
        </w:rPr>
        <w:t>.  (T</w:t>
      </w:r>
      <w:r>
        <w:rPr>
          <w:rFonts w:ascii="Calibri" w:eastAsia="Arial" w:hAnsi="Calibri" w:cs="Times New Roman"/>
          <w:spacing w:val="1"/>
          <w:sz w:val="24"/>
          <w:szCs w:val="24"/>
          <w:lang w:val="en-GB"/>
        </w:rPr>
        <w:t>his</w:t>
      </w:r>
      <w:r w:rsidR="00952063">
        <w:rPr>
          <w:rFonts w:ascii="Calibri" w:eastAsia="Arial" w:hAnsi="Calibri" w:cs="Times New Roman"/>
          <w:spacing w:val="1"/>
          <w:sz w:val="24"/>
          <w:szCs w:val="24"/>
          <w:lang w:val="en-GB"/>
        </w:rPr>
        <w:t>,</w:t>
      </w:r>
      <w:r>
        <w:rPr>
          <w:rFonts w:ascii="Calibri" w:eastAsia="Arial" w:hAnsi="Calibri" w:cs="Times New Roman"/>
          <w:spacing w:val="1"/>
          <w:sz w:val="24"/>
          <w:szCs w:val="24"/>
          <w:lang w:val="en-GB"/>
        </w:rPr>
        <w:t xml:space="preserve"> in turn</w:t>
      </w:r>
      <w:r w:rsidR="00952063">
        <w:rPr>
          <w:rFonts w:ascii="Calibri" w:eastAsia="Arial" w:hAnsi="Calibri" w:cs="Times New Roman"/>
          <w:spacing w:val="1"/>
          <w:sz w:val="24"/>
          <w:szCs w:val="24"/>
          <w:lang w:val="en-GB"/>
        </w:rPr>
        <w:t>,</w:t>
      </w:r>
      <w:r>
        <w:rPr>
          <w:rFonts w:ascii="Calibri" w:eastAsia="Arial" w:hAnsi="Calibri" w:cs="Times New Roman"/>
          <w:spacing w:val="1"/>
          <w:sz w:val="24"/>
          <w:szCs w:val="24"/>
          <w:lang w:val="en-GB"/>
        </w:rPr>
        <w:t xml:space="preserve"> informed the preparation of </w:t>
      </w:r>
      <w:r w:rsidR="00803BA7">
        <w:rPr>
          <w:rFonts w:ascii="Calibri" w:eastAsia="Arial" w:hAnsi="Calibri" w:cs="Times New Roman"/>
          <w:spacing w:val="1"/>
          <w:sz w:val="24"/>
          <w:szCs w:val="24"/>
          <w:lang w:val="en-GB"/>
        </w:rPr>
        <w:t>a separate</w:t>
      </w:r>
      <w:r>
        <w:rPr>
          <w:rFonts w:ascii="Calibri" w:eastAsia="Arial" w:hAnsi="Calibri" w:cs="Times New Roman"/>
          <w:spacing w:val="1"/>
          <w:sz w:val="24"/>
          <w:szCs w:val="24"/>
          <w:lang w:val="en-GB"/>
        </w:rPr>
        <w:t xml:space="preserve"> S</w:t>
      </w:r>
      <w:r w:rsidR="00803BA7">
        <w:rPr>
          <w:rFonts w:ascii="Calibri" w:eastAsia="Arial" w:hAnsi="Calibri" w:cs="Times New Roman"/>
          <w:spacing w:val="1"/>
          <w:sz w:val="24"/>
          <w:szCs w:val="24"/>
          <w:lang w:val="en-GB"/>
        </w:rPr>
        <w:t xml:space="preserve">trategic </w:t>
      </w:r>
      <w:r>
        <w:rPr>
          <w:rFonts w:ascii="Calibri" w:eastAsia="Arial" w:hAnsi="Calibri" w:cs="Times New Roman"/>
          <w:spacing w:val="1"/>
          <w:sz w:val="24"/>
          <w:szCs w:val="24"/>
          <w:lang w:val="en-GB"/>
        </w:rPr>
        <w:t>E</w:t>
      </w:r>
      <w:r w:rsidR="00803BA7">
        <w:rPr>
          <w:rFonts w:ascii="Calibri" w:eastAsia="Arial" w:hAnsi="Calibri" w:cs="Times New Roman"/>
          <w:spacing w:val="1"/>
          <w:sz w:val="24"/>
          <w:szCs w:val="24"/>
          <w:lang w:val="en-GB"/>
        </w:rPr>
        <w:t xml:space="preserve">nvironmental </w:t>
      </w:r>
      <w:r>
        <w:rPr>
          <w:rFonts w:ascii="Calibri" w:eastAsia="Arial" w:hAnsi="Calibri" w:cs="Times New Roman"/>
          <w:spacing w:val="1"/>
          <w:sz w:val="24"/>
          <w:szCs w:val="24"/>
          <w:lang w:val="en-GB"/>
        </w:rPr>
        <w:t>A</w:t>
      </w:r>
      <w:r w:rsidR="00803BA7">
        <w:rPr>
          <w:rFonts w:ascii="Calibri" w:eastAsia="Arial" w:hAnsi="Calibri" w:cs="Times New Roman"/>
          <w:spacing w:val="1"/>
          <w:sz w:val="24"/>
          <w:szCs w:val="24"/>
          <w:lang w:val="en-GB"/>
        </w:rPr>
        <w:t>ssessment</w:t>
      </w:r>
      <w:r>
        <w:rPr>
          <w:rFonts w:ascii="Calibri" w:eastAsia="Arial" w:hAnsi="Calibri" w:cs="Times New Roman"/>
          <w:spacing w:val="1"/>
          <w:sz w:val="24"/>
          <w:szCs w:val="24"/>
          <w:lang w:val="en-GB"/>
        </w:rPr>
        <w:t xml:space="preserve"> </w:t>
      </w:r>
      <w:r w:rsidR="00952063">
        <w:rPr>
          <w:rFonts w:ascii="Calibri" w:eastAsia="Arial" w:hAnsi="Calibri" w:cs="Times New Roman"/>
          <w:spacing w:val="1"/>
          <w:sz w:val="24"/>
          <w:szCs w:val="24"/>
          <w:lang w:val="en-GB"/>
        </w:rPr>
        <w:t xml:space="preserve">(SEA) </w:t>
      </w:r>
      <w:r>
        <w:rPr>
          <w:rFonts w:ascii="Calibri" w:eastAsia="Arial" w:hAnsi="Calibri" w:cs="Times New Roman"/>
          <w:spacing w:val="1"/>
          <w:sz w:val="24"/>
          <w:szCs w:val="24"/>
          <w:lang w:val="en-GB"/>
        </w:rPr>
        <w:t>Screening Report by Minogue and Associates Environmental Consultants</w:t>
      </w:r>
      <w:r w:rsidR="00952063">
        <w:rPr>
          <w:rFonts w:ascii="Calibri" w:eastAsia="Arial" w:hAnsi="Calibri" w:cs="Times New Roman"/>
          <w:spacing w:val="1"/>
          <w:sz w:val="24"/>
          <w:szCs w:val="24"/>
          <w:lang w:val="en-GB"/>
        </w:rPr>
        <w:t>)</w:t>
      </w:r>
      <w:r w:rsidR="00803BA7">
        <w:rPr>
          <w:rFonts w:ascii="Calibri" w:eastAsia="Arial" w:hAnsi="Calibri" w:cs="Times New Roman"/>
          <w:spacing w:val="1"/>
          <w:sz w:val="24"/>
          <w:szCs w:val="24"/>
          <w:lang w:val="en-GB"/>
        </w:rPr>
        <w:t>.</w:t>
      </w:r>
      <w:r w:rsidR="001A7993">
        <w:rPr>
          <w:rFonts w:ascii="Calibri" w:eastAsia="Arial" w:hAnsi="Calibri" w:cs="Times New Roman"/>
          <w:spacing w:val="1"/>
          <w:sz w:val="24"/>
          <w:szCs w:val="24"/>
          <w:lang w:val="en-GB"/>
        </w:rPr>
        <w:t xml:space="preserve">  </w:t>
      </w:r>
    </w:p>
    <w:p w14:paraId="4BEE40E5" w14:textId="54D984C2" w:rsidR="00B435AA" w:rsidRDefault="00B435AA" w:rsidP="00D917E7">
      <w:pPr>
        <w:ind w:left="720"/>
        <w:rPr>
          <w:rFonts w:ascii="Calibri" w:eastAsia="Arial" w:hAnsi="Calibri" w:cs="Times New Roman"/>
          <w:spacing w:val="1"/>
          <w:sz w:val="24"/>
          <w:szCs w:val="24"/>
          <w:lang w:val="en-GB"/>
        </w:rPr>
      </w:pPr>
      <w:r>
        <w:rPr>
          <w:rFonts w:ascii="Calibri" w:eastAsia="Arial" w:hAnsi="Calibri" w:cs="Times New Roman"/>
          <w:spacing w:val="1"/>
          <w:sz w:val="24"/>
          <w:szCs w:val="24"/>
          <w:lang w:val="en-GB"/>
        </w:rPr>
        <w:t>The AA Screening report identified that three European Sites occur within the zone of influence of the proposed amendments within Adamstown, by virtue of the presence of a hydrological pathway</w:t>
      </w:r>
      <w:r w:rsidR="005B31F7">
        <w:rPr>
          <w:rFonts w:ascii="Calibri" w:eastAsia="Arial" w:hAnsi="Calibri" w:cs="Times New Roman"/>
          <w:spacing w:val="1"/>
          <w:sz w:val="24"/>
          <w:szCs w:val="24"/>
          <w:lang w:val="en-GB"/>
        </w:rPr>
        <w:t xml:space="preserve"> – these are North Dublin Bay SAC; South Dublin Bay River Tolka Estuary SPA; and North BullI Island SPA.</w:t>
      </w:r>
      <w:r>
        <w:rPr>
          <w:rFonts w:ascii="Calibri" w:eastAsia="Arial" w:hAnsi="Calibri" w:cs="Times New Roman"/>
          <w:spacing w:val="1"/>
          <w:sz w:val="24"/>
          <w:szCs w:val="24"/>
          <w:lang w:val="en-GB"/>
        </w:rPr>
        <w:t xml:space="preserve"> </w:t>
      </w:r>
    </w:p>
    <w:p w14:paraId="0E7AA4D1" w14:textId="79A1B6C9" w:rsidR="00D917E7" w:rsidRDefault="001A7993" w:rsidP="00D917E7">
      <w:pPr>
        <w:ind w:left="720"/>
        <w:rPr>
          <w:rFonts w:cstheme="minorHAnsi"/>
          <w:sz w:val="24"/>
          <w:szCs w:val="24"/>
        </w:rPr>
      </w:pPr>
      <w:r>
        <w:rPr>
          <w:rFonts w:ascii="Calibri" w:eastAsia="Arial" w:hAnsi="Calibri" w:cs="Times New Roman"/>
          <w:spacing w:val="1"/>
          <w:sz w:val="24"/>
          <w:szCs w:val="24"/>
          <w:lang w:val="en-GB"/>
        </w:rPr>
        <w:t xml:space="preserve">The </w:t>
      </w:r>
      <w:r w:rsidR="00952063">
        <w:rPr>
          <w:rFonts w:ascii="Calibri" w:eastAsia="Arial" w:hAnsi="Calibri" w:cs="Times New Roman"/>
          <w:spacing w:val="1"/>
          <w:sz w:val="24"/>
          <w:szCs w:val="24"/>
          <w:lang w:val="en-GB"/>
        </w:rPr>
        <w:t xml:space="preserve">AA </w:t>
      </w:r>
      <w:r>
        <w:rPr>
          <w:rFonts w:ascii="Calibri" w:eastAsia="Arial" w:hAnsi="Calibri" w:cs="Times New Roman"/>
          <w:spacing w:val="1"/>
          <w:sz w:val="24"/>
          <w:szCs w:val="24"/>
          <w:lang w:val="en-GB"/>
        </w:rPr>
        <w:t xml:space="preserve">Screening Conclusion states: </w:t>
      </w:r>
    </w:p>
    <w:p w14:paraId="0BAFB72F" w14:textId="2B47683A" w:rsidR="00D917E7" w:rsidRDefault="001A7993" w:rsidP="001A7993">
      <w:pPr>
        <w:ind w:left="1440"/>
        <w:rPr>
          <w:i/>
          <w:iCs/>
          <w:sz w:val="24"/>
          <w:szCs w:val="24"/>
        </w:rPr>
      </w:pPr>
      <w:r>
        <w:rPr>
          <w:i/>
          <w:iCs/>
          <w:sz w:val="24"/>
          <w:szCs w:val="24"/>
        </w:rPr>
        <w:t>‘</w:t>
      </w:r>
      <w:r w:rsidR="00D917E7" w:rsidRPr="001A7993">
        <w:rPr>
          <w:i/>
          <w:iCs/>
          <w:sz w:val="24"/>
          <w:szCs w:val="24"/>
        </w:rPr>
        <w:t>This Screening Report for Appropriate Assessment has found that development within the SDZ lands will not present a risk of negatively affecting water quality at Dublin Bay in the vicinity of the three European Site</w:t>
      </w:r>
      <w:r w:rsidR="00240580">
        <w:rPr>
          <w:i/>
          <w:iCs/>
          <w:sz w:val="24"/>
          <w:szCs w:val="24"/>
        </w:rPr>
        <w:t>s</w:t>
      </w:r>
      <w:r w:rsidR="00D917E7" w:rsidRPr="001A7993">
        <w:rPr>
          <w:i/>
          <w:iCs/>
          <w:sz w:val="24"/>
          <w:szCs w:val="24"/>
        </w:rPr>
        <w:t xml:space="preserve"> and will not have the potential to influence the status of wetland qualifying habitats of the SAC and the wetland habitats of the SPA upon which special conservation interest bird species rely.</w:t>
      </w:r>
      <w:r>
        <w:rPr>
          <w:i/>
          <w:iCs/>
          <w:sz w:val="24"/>
          <w:szCs w:val="24"/>
        </w:rPr>
        <w:t>’</w:t>
      </w:r>
    </w:p>
    <w:p w14:paraId="62C6EA52" w14:textId="3225ACBC" w:rsidR="001A7993" w:rsidRPr="001A7993" w:rsidRDefault="001A7993" w:rsidP="001A7993">
      <w:pPr>
        <w:ind w:left="720"/>
        <w:rPr>
          <w:i/>
          <w:iCs/>
          <w:sz w:val="24"/>
          <w:szCs w:val="24"/>
        </w:rPr>
      </w:pPr>
      <w:r>
        <w:rPr>
          <w:i/>
          <w:iCs/>
          <w:sz w:val="24"/>
          <w:szCs w:val="24"/>
        </w:rPr>
        <w:t>The Screening Conclusion continues:</w:t>
      </w:r>
    </w:p>
    <w:p w14:paraId="6F134C0E" w14:textId="0BC55373" w:rsidR="00D917E7" w:rsidRPr="001A7993" w:rsidRDefault="001A7993" w:rsidP="001A7993">
      <w:pPr>
        <w:ind w:left="1440"/>
        <w:rPr>
          <w:i/>
          <w:iCs/>
          <w:sz w:val="24"/>
          <w:szCs w:val="24"/>
        </w:rPr>
      </w:pPr>
      <w:r>
        <w:rPr>
          <w:i/>
          <w:iCs/>
          <w:sz w:val="24"/>
          <w:szCs w:val="24"/>
        </w:rPr>
        <w:t>‘</w:t>
      </w:r>
      <w:r w:rsidR="00D917E7" w:rsidRPr="001A7993">
        <w:rPr>
          <w:i/>
          <w:iCs/>
          <w:sz w:val="24"/>
          <w:szCs w:val="24"/>
        </w:rPr>
        <w:t>In light of the findings of this report it is the considered view of the authors of this Screening Report for Appropriate Assessment that it can be concluded by South Dublin County Council that the proposed amendment to the SDZ is not likely, alone or in-combination with other plans or projects, to have a significant effect on any European Sites in view of their Conservation Objectives and on the basis of best scientific evidence and there is no reasonable scientific doubt as to that conclusion.</w:t>
      </w:r>
      <w:r>
        <w:rPr>
          <w:i/>
          <w:iCs/>
          <w:sz w:val="24"/>
          <w:szCs w:val="24"/>
        </w:rPr>
        <w:t>’</w:t>
      </w:r>
    </w:p>
    <w:p w14:paraId="02D15229" w14:textId="77777777" w:rsidR="007C3484" w:rsidRPr="007C3484" w:rsidRDefault="007C3484" w:rsidP="007C3484">
      <w:pPr>
        <w:spacing w:after="120" w:line="240" w:lineRule="auto"/>
        <w:rPr>
          <w:rFonts w:eastAsia="Arial" w:cs="Times New Roman"/>
          <w:i/>
          <w:iCs/>
          <w:color w:val="385623" w:themeColor="accent6" w:themeShade="80"/>
          <w:spacing w:val="1"/>
          <w:sz w:val="24"/>
          <w:szCs w:val="24"/>
        </w:rPr>
      </w:pPr>
    </w:p>
    <w:p w14:paraId="3349AA3D" w14:textId="77777777" w:rsidR="007C3484" w:rsidRPr="001A7993" w:rsidRDefault="007C3484" w:rsidP="007C3484">
      <w:pPr>
        <w:pStyle w:val="ListParagraph"/>
        <w:numPr>
          <w:ilvl w:val="0"/>
          <w:numId w:val="1"/>
        </w:numPr>
        <w:spacing w:after="120" w:line="240" w:lineRule="auto"/>
        <w:rPr>
          <w:rFonts w:eastAsia="Arial" w:cs="Times New Roman"/>
          <w:color w:val="4472C4" w:themeColor="accent1"/>
          <w:spacing w:val="1"/>
          <w:sz w:val="24"/>
          <w:szCs w:val="24"/>
        </w:rPr>
      </w:pPr>
      <w:r w:rsidRPr="001A7993">
        <w:rPr>
          <w:rFonts w:eastAsia="Arial" w:cs="Times New Roman"/>
          <w:color w:val="4472C4" w:themeColor="accent1"/>
          <w:spacing w:val="1"/>
          <w:sz w:val="24"/>
          <w:szCs w:val="24"/>
        </w:rPr>
        <w:t>Conclusion</w:t>
      </w:r>
    </w:p>
    <w:p w14:paraId="2C14BA9C" w14:textId="0949BCFA" w:rsidR="007C3484" w:rsidRPr="00EF0958" w:rsidRDefault="007C3484" w:rsidP="007C3484">
      <w:pPr>
        <w:ind w:left="720"/>
        <w:rPr>
          <w:rFonts w:cstheme="minorHAnsi"/>
          <w:sz w:val="24"/>
          <w:szCs w:val="24"/>
        </w:rPr>
      </w:pPr>
      <w:r w:rsidRPr="00EF0958">
        <w:rPr>
          <w:rFonts w:eastAsia="Arial" w:cs="Times New Roman"/>
          <w:spacing w:val="1"/>
          <w:sz w:val="24"/>
          <w:szCs w:val="24"/>
        </w:rPr>
        <w:t xml:space="preserve">In accordance with the above, South Dublin County Council therefore conclude </w:t>
      </w:r>
      <w:r w:rsidR="00EF0958" w:rsidRPr="00EF0958">
        <w:rPr>
          <w:sz w:val="24"/>
          <w:szCs w:val="24"/>
        </w:rPr>
        <w:t>that the proposed amendment</w:t>
      </w:r>
      <w:r w:rsidR="00F54A39">
        <w:rPr>
          <w:sz w:val="24"/>
          <w:szCs w:val="24"/>
        </w:rPr>
        <w:t>s</w:t>
      </w:r>
      <w:r w:rsidR="00EF0958" w:rsidRPr="00EF0958">
        <w:rPr>
          <w:sz w:val="24"/>
          <w:szCs w:val="24"/>
        </w:rPr>
        <w:t xml:space="preserve"> to the SDZ </w:t>
      </w:r>
      <w:r w:rsidR="00F54A39">
        <w:rPr>
          <w:sz w:val="24"/>
          <w:szCs w:val="24"/>
        </w:rPr>
        <w:t>are</w:t>
      </w:r>
      <w:r w:rsidR="00EF0958" w:rsidRPr="00EF0958">
        <w:rPr>
          <w:sz w:val="24"/>
          <w:szCs w:val="24"/>
        </w:rPr>
        <w:t xml:space="preserve"> not likely, alone or in-combination with other plans or projects, to have a significant effect on any European Sites in view of their Conservation Objectives.</w:t>
      </w:r>
    </w:p>
    <w:p w14:paraId="3247B1FD" w14:textId="77777777" w:rsidR="007C3484" w:rsidRPr="007C3484" w:rsidRDefault="007C3484" w:rsidP="007C3484">
      <w:pPr>
        <w:pStyle w:val="ListParagraph"/>
        <w:spacing w:after="120" w:line="240" w:lineRule="auto"/>
        <w:rPr>
          <w:rFonts w:eastAsia="Arial" w:cs="Times New Roman"/>
          <w:color w:val="385623" w:themeColor="accent6" w:themeShade="80"/>
          <w:spacing w:val="1"/>
          <w:sz w:val="24"/>
          <w:szCs w:val="24"/>
        </w:rPr>
      </w:pPr>
    </w:p>
    <w:p w14:paraId="0383FD0C" w14:textId="77777777" w:rsidR="007C3484" w:rsidRPr="007C3484" w:rsidRDefault="007C3484" w:rsidP="007C3484">
      <w:pPr>
        <w:spacing w:before="240" w:after="80" w:line="276" w:lineRule="auto"/>
        <w:outlineLvl w:val="1"/>
        <w:rPr>
          <w:rFonts w:ascii="Calibri" w:eastAsia="Times New Roman" w:hAnsi="Calibri" w:cs="Times New Roman"/>
          <w:smallCaps/>
          <w:color w:val="385623" w:themeColor="accent6" w:themeShade="80"/>
          <w:spacing w:val="5"/>
          <w:sz w:val="28"/>
          <w:szCs w:val="28"/>
          <w:lang w:val="en-GB"/>
        </w:rPr>
      </w:pPr>
    </w:p>
    <w:p w14:paraId="798F696E" w14:textId="77777777" w:rsidR="007C3484" w:rsidRPr="007C3484" w:rsidRDefault="007C3484" w:rsidP="007C3484">
      <w:pPr>
        <w:spacing w:before="240" w:after="80" w:line="276" w:lineRule="auto"/>
        <w:outlineLvl w:val="1"/>
        <w:rPr>
          <w:rFonts w:ascii="Calibri" w:eastAsia="Times New Roman" w:hAnsi="Calibri" w:cs="Times New Roman"/>
          <w:smallCaps/>
          <w:color w:val="385623" w:themeColor="accent6" w:themeShade="80"/>
          <w:spacing w:val="5"/>
          <w:sz w:val="28"/>
          <w:szCs w:val="28"/>
          <w:lang w:val="en-GB"/>
        </w:rPr>
      </w:pPr>
    </w:p>
    <w:bookmarkEnd w:id="2"/>
    <w:bookmarkEnd w:id="3"/>
    <w:bookmarkEnd w:id="4"/>
    <w:p w14:paraId="0DCCAA62" w14:textId="77777777" w:rsidR="007C3484" w:rsidRPr="007C3484" w:rsidRDefault="007C3484" w:rsidP="007C3484">
      <w:pPr>
        <w:rPr>
          <w:color w:val="385623" w:themeColor="accent6" w:themeShade="80"/>
        </w:rPr>
      </w:pPr>
    </w:p>
    <w:p w14:paraId="7FB12A2B" w14:textId="77777777" w:rsidR="007C3484" w:rsidRPr="007C3484" w:rsidRDefault="007C3484" w:rsidP="007C3484">
      <w:pPr>
        <w:rPr>
          <w:color w:val="385623" w:themeColor="accent6" w:themeShade="80"/>
        </w:rPr>
      </w:pPr>
    </w:p>
    <w:p w14:paraId="27224A7E" w14:textId="77777777" w:rsidR="007C3484" w:rsidRPr="007C3484" w:rsidRDefault="007C3484">
      <w:pPr>
        <w:rPr>
          <w:color w:val="385623" w:themeColor="accent6" w:themeShade="80"/>
        </w:rPr>
      </w:pPr>
    </w:p>
    <w:sectPr w:rsidR="007C3484" w:rsidRPr="007C34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141E3"/>
    <w:multiLevelType w:val="hybridMultilevel"/>
    <w:tmpl w:val="EF94C2E4"/>
    <w:lvl w:ilvl="0" w:tplc="7C36A7DA">
      <w:numFmt w:val="bullet"/>
      <w:lvlText w:val="•"/>
      <w:lvlJc w:val="left"/>
      <w:pPr>
        <w:ind w:left="1800" w:hanging="360"/>
      </w:pPr>
      <w:rPr>
        <w:rFonts w:ascii="Calibri" w:eastAsiaTheme="minorHAnsi" w:hAnsi="Calibri" w:cs="Calibri"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 w15:restartNumberingAfterBreak="0">
    <w:nsid w:val="0647127B"/>
    <w:multiLevelType w:val="hybridMultilevel"/>
    <w:tmpl w:val="7CA2B372"/>
    <w:lvl w:ilvl="0" w:tplc="2FA05B50">
      <w:start w:val="1"/>
      <w:numFmt w:val="decimal"/>
      <w:lvlText w:val="%1."/>
      <w:lvlJc w:val="left"/>
      <w:pPr>
        <w:ind w:left="720" w:hanging="360"/>
      </w:pPr>
      <w:rPr>
        <w:sz w:val="22"/>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 w15:restartNumberingAfterBreak="0">
    <w:nsid w:val="25C125E8"/>
    <w:multiLevelType w:val="hybridMultilevel"/>
    <w:tmpl w:val="CC6A9276"/>
    <w:lvl w:ilvl="0" w:tplc="150E046C">
      <w:start w:val="1"/>
      <w:numFmt w:val="bullet"/>
      <w:lvlText w:val=""/>
      <w:lvlJc w:val="left"/>
      <w:pPr>
        <w:ind w:left="1440" w:hanging="360"/>
      </w:pPr>
      <w:rPr>
        <w:rFonts w:ascii="Symbol" w:hAnsi="Symbol" w:hint="default"/>
        <w:color w:val="4472C4" w:themeColor="accent1"/>
      </w:rPr>
    </w:lvl>
    <w:lvl w:ilvl="1" w:tplc="18090003">
      <w:start w:val="1"/>
      <w:numFmt w:val="bullet"/>
      <w:lvlText w:val="o"/>
      <w:lvlJc w:val="left"/>
      <w:pPr>
        <w:ind w:left="2160" w:hanging="360"/>
      </w:pPr>
      <w:rPr>
        <w:rFonts w:ascii="Courier New" w:hAnsi="Courier New" w:cs="Courier New" w:hint="default"/>
      </w:rPr>
    </w:lvl>
    <w:lvl w:ilvl="2" w:tplc="18090005">
      <w:start w:val="1"/>
      <w:numFmt w:val="bullet"/>
      <w:lvlText w:val=""/>
      <w:lvlJc w:val="left"/>
      <w:pPr>
        <w:ind w:left="2880" w:hanging="360"/>
      </w:pPr>
      <w:rPr>
        <w:rFonts w:ascii="Wingdings" w:hAnsi="Wingdings" w:hint="default"/>
      </w:rPr>
    </w:lvl>
    <w:lvl w:ilvl="3" w:tplc="18090001">
      <w:start w:val="1"/>
      <w:numFmt w:val="bullet"/>
      <w:lvlText w:val=""/>
      <w:lvlJc w:val="left"/>
      <w:pPr>
        <w:ind w:left="3600" w:hanging="360"/>
      </w:pPr>
      <w:rPr>
        <w:rFonts w:ascii="Symbol" w:hAnsi="Symbol" w:hint="default"/>
      </w:rPr>
    </w:lvl>
    <w:lvl w:ilvl="4" w:tplc="18090003">
      <w:start w:val="1"/>
      <w:numFmt w:val="bullet"/>
      <w:lvlText w:val="o"/>
      <w:lvlJc w:val="left"/>
      <w:pPr>
        <w:ind w:left="4320" w:hanging="360"/>
      </w:pPr>
      <w:rPr>
        <w:rFonts w:ascii="Courier New" w:hAnsi="Courier New" w:cs="Courier New" w:hint="default"/>
      </w:rPr>
    </w:lvl>
    <w:lvl w:ilvl="5" w:tplc="18090005">
      <w:start w:val="1"/>
      <w:numFmt w:val="bullet"/>
      <w:lvlText w:val=""/>
      <w:lvlJc w:val="left"/>
      <w:pPr>
        <w:ind w:left="5040" w:hanging="360"/>
      </w:pPr>
      <w:rPr>
        <w:rFonts w:ascii="Wingdings" w:hAnsi="Wingdings" w:hint="default"/>
      </w:rPr>
    </w:lvl>
    <w:lvl w:ilvl="6" w:tplc="18090001">
      <w:start w:val="1"/>
      <w:numFmt w:val="bullet"/>
      <w:lvlText w:val=""/>
      <w:lvlJc w:val="left"/>
      <w:pPr>
        <w:ind w:left="5760" w:hanging="360"/>
      </w:pPr>
      <w:rPr>
        <w:rFonts w:ascii="Symbol" w:hAnsi="Symbol" w:hint="default"/>
      </w:rPr>
    </w:lvl>
    <w:lvl w:ilvl="7" w:tplc="18090003">
      <w:start w:val="1"/>
      <w:numFmt w:val="bullet"/>
      <w:lvlText w:val="o"/>
      <w:lvlJc w:val="left"/>
      <w:pPr>
        <w:ind w:left="6480" w:hanging="360"/>
      </w:pPr>
      <w:rPr>
        <w:rFonts w:ascii="Courier New" w:hAnsi="Courier New" w:cs="Courier New" w:hint="default"/>
      </w:rPr>
    </w:lvl>
    <w:lvl w:ilvl="8" w:tplc="18090005">
      <w:start w:val="1"/>
      <w:numFmt w:val="bullet"/>
      <w:lvlText w:val=""/>
      <w:lvlJc w:val="left"/>
      <w:pPr>
        <w:ind w:left="7200" w:hanging="360"/>
      </w:pPr>
      <w:rPr>
        <w:rFonts w:ascii="Wingdings" w:hAnsi="Wingdings" w:hint="default"/>
      </w:rPr>
    </w:lvl>
  </w:abstractNum>
  <w:abstractNum w:abstractNumId="3" w15:restartNumberingAfterBreak="0">
    <w:nsid w:val="71F64BE0"/>
    <w:multiLevelType w:val="hybridMultilevel"/>
    <w:tmpl w:val="2F60ECBC"/>
    <w:lvl w:ilvl="0" w:tplc="150E046C">
      <w:start w:val="1"/>
      <w:numFmt w:val="bullet"/>
      <w:lvlText w:val=""/>
      <w:lvlJc w:val="left"/>
      <w:pPr>
        <w:ind w:left="1440" w:hanging="360"/>
      </w:pPr>
      <w:rPr>
        <w:rFonts w:ascii="Symbol" w:hAnsi="Symbol" w:hint="default"/>
        <w:color w:val="4472C4" w:themeColor="accent1"/>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484"/>
    <w:rsid w:val="00087E2E"/>
    <w:rsid w:val="001A7993"/>
    <w:rsid w:val="00240580"/>
    <w:rsid w:val="005454ED"/>
    <w:rsid w:val="00566D05"/>
    <w:rsid w:val="005B31F7"/>
    <w:rsid w:val="007971D6"/>
    <w:rsid w:val="007C3484"/>
    <w:rsid w:val="00803BA7"/>
    <w:rsid w:val="00887877"/>
    <w:rsid w:val="00952063"/>
    <w:rsid w:val="009E625A"/>
    <w:rsid w:val="00B435AA"/>
    <w:rsid w:val="00C97803"/>
    <w:rsid w:val="00D86F89"/>
    <w:rsid w:val="00D917E7"/>
    <w:rsid w:val="00E0686E"/>
    <w:rsid w:val="00EF0958"/>
    <w:rsid w:val="00F54A3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9E22A"/>
  <w15:chartTrackingRefBased/>
  <w15:docId w15:val="{792ACC2E-5F33-4A09-8CE2-14315DAB1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484"/>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3484"/>
    <w:pPr>
      <w:spacing w:line="252" w:lineRule="auto"/>
      <w:ind w:left="720"/>
      <w:contextualSpacing/>
    </w:pPr>
  </w:style>
  <w:style w:type="paragraph" w:customStyle="1" w:styleId="Default">
    <w:name w:val="Default"/>
    <w:rsid w:val="00C97803"/>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1258889">
      <w:bodyDiv w:val="1"/>
      <w:marLeft w:val="0"/>
      <w:marRight w:val="0"/>
      <w:marTop w:val="0"/>
      <w:marBottom w:val="0"/>
      <w:divBdr>
        <w:top w:val="none" w:sz="0" w:space="0" w:color="auto"/>
        <w:left w:val="none" w:sz="0" w:space="0" w:color="auto"/>
        <w:bottom w:val="none" w:sz="0" w:space="0" w:color="auto"/>
        <w:right w:val="none" w:sz="0" w:space="0" w:color="auto"/>
      </w:divBdr>
    </w:div>
    <w:div w:id="136008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3</Pages>
  <Words>682</Words>
  <Characters>3890</Characters>
  <Application>Microsoft Office Word</Application>
  <DocSecurity>0</DocSecurity>
  <Lines>32</Lines>
  <Paragraphs>9</Paragraphs>
  <ScaleCrop>false</ScaleCrop>
  <Company/>
  <LinksUpToDate>false</LinksUpToDate>
  <CharactersWithSpaces>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Siobhan Duff</cp:lastModifiedBy>
  <cp:revision>20</cp:revision>
  <dcterms:created xsi:type="dcterms:W3CDTF">2020-05-18T10:36:00Z</dcterms:created>
  <dcterms:modified xsi:type="dcterms:W3CDTF">2020-05-18T15:53:00Z</dcterms:modified>
</cp:coreProperties>
</file>