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A80FA" w14:textId="6E289A20" w:rsidR="002D336B" w:rsidRDefault="002D336B" w:rsidP="002D336B">
      <w:pPr>
        <w:pStyle w:val="BodyTextIndent"/>
        <w:rPr>
          <w:rFonts w:ascii="SDCC Sans" w:eastAsia="SDCC Sans" w:hAnsi="SDCC Sans" w:cs="SDCC Sans"/>
          <w:b w:val="0"/>
          <w:bCs/>
          <w:spacing w:val="0"/>
          <w:lang w:val="en-IE"/>
        </w:rPr>
      </w:pPr>
      <w:r>
        <w:rPr>
          <w:noProof/>
          <w:sz w:val="20"/>
        </w:rPr>
        <w:drawing>
          <wp:inline distT="0" distB="0" distL="0" distR="0" wp14:anchorId="26ADAC25" wp14:editId="62FDE048">
            <wp:extent cx="6146358" cy="1009815"/>
            <wp:effectExtent l="0" t="0" r="6985"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179182" cy="1015208"/>
                    </a:xfrm>
                    <a:prstGeom prst="rect">
                      <a:avLst/>
                    </a:prstGeom>
                  </pic:spPr>
                </pic:pic>
              </a:graphicData>
            </a:graphic>
          </wp:inline>
        </w:drawing>
      </w:r>
    </w:p>
    <w:p w14:paraId="0E4FB6CE" w14:textId="77777777" w:rsidR="002D336B" w:rsidRDefault="002D336B" w:rsidP="002D336B">
      <w:pPr>
        <w:pStyle w:val="BodyTextIndent"/>
        <w:rPr>
          <w:rFonts w:ascii="SDCC Sans" w:eastAsia="SDCC Sans" w:hAnsi="SDCC Sans" w:cs="SDCC Sans"/>
          <w:b w:val="0"/>
          <w:bCs/>
          <w:spacing w:val="0"/>
          <w:lang w:val="en-IE"/>
        </w:rPr>
      </w:pPr>
    </w:p>
    <w:p w14:paraId="3A62DF3D" w14:textId="77777777" w:rsidR="002D336B" w:rsidRPr="003B74C0" w:rsidRDefault="002D336B" w:rsidP="002D336B">
      <w:pPr>
        <w:spacing w:before="73" w:line="352" w:lineRule="auto"/>
        <w:jc w:val="center"/>
        <w:rPr>
          <w:rFonts w:ascii="SDCC Sans" w:hAnsi="SDCC Sans"/>
          <w:color w:val="000000"/>
          <w:sz w:val="36"/>
          <w:szCs w:val="22"/>
        </w:rPr>
      </w:pPr>
      <w:r w:rsidRPr="003B74C0">
        <w:rPr>
          <w:rFonts w:ascii="SDCC Sans" w:hAnsi="SDCC Sans"/>
          <w:color w:val="363992"/>
          <w:sz w:val="36"/>
          <w:szCs w:val="22"/>
        </w:rPr>
        <w:t>Differential</w:t>
      </w:r>
      <w:r w:rsidRPr="003B74C0">
        <w:rPr>
          <w:rFonts w:ascii="SDCC Sans" w:hAnsi="SDCC Sans"/>
          <w:color w:val="363992"/>
          <w:spacing w:val="-18"/>
          <w:sz w:val="36"/>
          <w:szCs w:val="22"/>
        </w:rPr>
        <w:t xml:space="preserve"> </w:t>
      </w:r>
      <w:r w:rsidRPr="003B74C0">
        <w:rPr>
          <w:rFonts w:ascii="SDCC Sans" w:hAnsi="SDCC Sans"/>
          <w:color w:val="363992"/>
          <w:sz w:val="36"/>
          <w:szCs w:val="22"/>
        </w:rPr>
        <w:t>Rent</w:t>
      </w:r>
      <w:r w:rsidRPr="003B74C0">
        <w:rPr>
          <w:rFonts w:ascii="SDCC Sans" w:hAnsi="SDCC Sans"/>
          <w:color w:val="363992"/>
          <w:spacing w:val="-18"/>
          <w:sz w:val="36"/>
          <w:szCs w:val="22"/>
        </w:rPr>
        <w:t xml:space="preserve"> </w:t>
      </w:r>
      <w:r w:rsidRPr="003B74C0">
        <w:rPr>
          <w:rFonts w:ascii="SDCC Sans" w:hAnsi="SDCC Sans"/>
          <w:color w:val="363992"/>
          <w:sz w:val="36"/>
          <w:szCs w:val="22"/>
        </w:rPr>
        <w:t>Scheme</w:t>
      </w:r>
      <w:r w:rsidRPr="003B74C0">
        <w:rPr>
          <w:rFonts w:ascii="SDCC Sans" w:hAnsi="SDCC Sans"/>
          <w:color w:val="363992"/>
          <w:spacing w:val="-18"/>
          <w:sz w:val="36"/>
          <w:szCs w:val="22"/>
        </w:rPr>
        <w:t xml:space="preserve"> </w:t>
      </w:r>
      <w:r w:rsidRPr="003B74C0">
        <w:rPr>
          <w:rFonts w:ascii="SDCC Sans" w:hAnsi="SDCC Sans"/>
          <w:color w:val="363992"/>
          <w:sz w:val="36"/>
          <w:szCs w:val="22"/>
        </w:rPr>
        <w:t>2026</w:t>
      </w:r>
    </w:p>
    <w:p w14:paraId="1B03E3FC" w14:textId="0949A1D0" w:rsidR="002D336B" w:rsidRPr="002D336B" w:rsidRDefault="002D336B" w:rsidP="002D336B">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South Dublin County Council (the “Council”) is responsible for the assessment and collection of rents within its administrative area in respect of all social housing tenancies in Council-owned, Rental Accommodation Scheme (RAS) and Leased properties, in accordance with Section 58 of the Housing Acts 1966 to 2024 (as amended). Accordingly, this Differential Rent Scheme 2026 (the “Scheme”) is being established to govern the assessment and collection of rents within its administrative area. The Scheme shall be applied in accordance with the terms set out below.</w:t>
      </w:r>
    </w:p>
    <w:p w14:paraId="7F4DF54A" w14:textId="77777777" w:rsidR="002D336B" w:rsidRPr="002D336B" w:rsidRDefault="002D336B" w:rsidP="002D336B">
      <w:pPr>
        <w:pStyle w:val="BodyTextIndent"/>
        <w:rPr>
          <w:rFonts w:ascii="SDCC Sans" w:eastAsia="SDCC Sans" w:hAnsi="SDCC Sans" w:cs="SDCC Sans"/>
          <w:b w:val="0"/>
          <w:bCs/>
          <w:color w:val="363A92"/>
          <w:spacing w:val="0"/>
          <w:lang w:val="en-IE"/>
        </w:rPr>
      </w:pPr>
    </w:p>
    <w:p w14:paraId="722A1DFF" w14:textId="0DFCAE86" w:rsidR="0072266C" w:rsidRPr="002D336B" w:rsidRDefault="0072266C" w:rsidP="002D336B">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The Differential Rent Scheme as outlined below is applicable to tenancies of all Council rented, Rental Accommodation Scheme (RAS), Leased and Housing Assistance Payment (HAP) properties.</w:t>
      </w:r>
    </w:p>
    <w:p w14:paraId="54CDA4DD" w14:textId="77777777" w:rsidR="0072266C" w:rsidRPr="002D336B" w:rsidRDefault="0072266C" w:rsidP="0072266C">
      <w:pPr>
        <w:tabs>
          <w:tab w:val="center" w:pos="4513"/>
        </w:tabs>
        <w:suppressAutoHyphens/>
        <w:jc w:val="both"/>
        <w:rPr>
          <w:rFonts w:ascii="SDCC Sans" w:eastAsia="SDCC Sans" w:hAnsi="SDCC Sans" w:cs="SDCC Sans"/>
          <w:bCs/>
          <w:color w:val="363A92"/>
          <w:szCs w:val="20"/>
          <w:lang w:val="en-IE"/>
        </w:rPr>
      </w:pPr>
    </w:p>
    <w:p w14:paraId="703A9B68"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The Scheme is also applicable to tenants of Approved Housing Bodies (AHBs) operating within South Dublin County. (The calculation and collection of rent for AHB tenancies is the responsibility of the respective AHB).</w:t>
      </w:r>
    </w:p>
    <w:p w14:paraId="19B1557B" w14:textId="77777777" w:rsidR="00BA70EB" w:rsidRPr="002D336B" w:rsidRDefault="00BA70EB">
      <w:pPr>
        <w:rPr>
          <w:color w:val="363A92"/>
        </w:rPr>
      </w:pPr>
    </w:p>
    <w:p w14:paraId="6068839D" w14:textId="77777777" w:rsidR="0072266C" w:rsidRPr="002D336B" w:rsidRDefault="0072266C">
      <w:pPr>
        <w:rPr>
          <w:color w:val="363A92"/>
        </w:rPr>
      </w:pPr>
    </w:p>
    <w:p w14:paraId="091EFCCB" w14:textId="77777777" w:rsidR="0072266C" w:rsidRPr="002D336B" w:rsidRDefault="0072266C" w:rsidP="0072266C">
      <w:pPr>
        <w:pStyle w:val="BodyTextIndent"/>
        <w:numPr>
          <w:ilvl w:val="0"/>
          <w:numId w:val="2"/>
        </w:numPr>
        <w:rPr>
          <w:rFonts w:ascii="SDCC Sans" w:eastAsia="SDCC Sans" w:hAnsi="SDCC Sans" w:cs="SDCC Sans"/>
          <w:color w:val="363A92"/>
          <w:spacing w:val="0"/>
          <w:lang w:val="en-IE"/>
        </w:rPr>
      </w:pPr>
      <w:r w:rsidRPr="002D336B">
        <w:rPr>
          <w:rFonts w:ascii="SDCC Sans" w:eastAsia="SDCC Sans" w:hAnsi="SDCC Sans" w:cs="SDCC Sans"/>
          <w:color w:val="363A92"/>
          <w:spacing w:val="0"/>
          <w:lang w:val="en-IE"/>
        </w:rPr>
        <w:t>Commencement Date</w:t>
      </w:r>
    </w:p>
    <w:p w14:paraId="04D4A455" w14:textId="77777777" w:rsidR="0072266C" w:rsidRPr="002D336B" w:rsidRDefault="0072266C" w:rsidP="0072266C">
      <w:pPr>
        <w:pStyle w:val="BodyTextIndent"/>
        <w:ind w:left="360"/>
        <w:rPr>
          <w:rFonts w:ascii="SDCC Sans" w:eastAsia="SDCC Sans" w:hAnsi="SDCC Sans" w:cs="SDCC Sans"/>
          <w:color w:val="363A92"/>
          <w:spacing w:val="0"/>
          <w:lang w:val="en-IE"/>
        </w:rPr>
      </w:pPr>
    </w:p>
    <w:p w14:paraId="6CB10746" w14:textId="6CEE882F"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 xml:space="preserve">This </w:t>
      </w:r>
      <w:r w:rsidRPr="003B74C0">
        <w:rPr>
          <w:rFonts w:ascii="SDCC Sans" w:eastAsia="SDCC Sans" w:hAnsi="SDCC Sans" w:cs="SDCC Sans"/>
          <w:b w:val="0"/>
          <w:bCs/>
          <w:color w:val="363A92"/>
          <w:spacing w:val="0"/>
          <w:lang w:val="en-IE"/>
        </w:rPr>
        <w:t xml:space="preserve">Scheme </w:t>
      </w:r>
      <w:r w:rsidR="00DF50AB" w:rsidRPr="003B74C0">
        <w:rPr>
          <w:rFonts w:ascii="SDCC Sans" w:eastAsia="SDCC Sans" w:hAnsi="SDCC Sans" w:cs="SDCC Sans"/>
          <w:b w:val="0"/>
          <w:bCs/>
          <w:color w:val="363A92"/>
          <w:spacing w:val="0"/>
          <w:lang w:val="en-IE"/>
        </w:rPr>
        <w:t>came into</w:t>
      </w:r>
      <w:r w:rsidRPr="003B74C0">
        <w:rPr>
          <w:rFonts w:ascii="SDCC Sans" w:eastAsia="SDCC Sans" w:hAnsi="SDCC Sans" w:cs="SDCC Sans"/>
          <w:b w:val="0"/>
          <w:bCs/>
          <w:color w:val="363A92"/>
          <w:spacing w:val="0"/>
          <w:lang w:val="en-IE"/>
        </w:rPr>
        <w:t xml:space="preserve"> effect from 1 July 2026</w:t>
      </w:r>
      <w:r w:rsidRPr="002D336B">
        <w:rPr>
          <w:rFonts w:ascii="SDCC Sans" w:eastAsia="SDCC Sans" w:hAnsi="SDCC Sans" w:cs="SDCC Sans"/>
          <w:b w:val="0"/>
          <w:bCs/>
          <w:color w:val="363A92"/>
          <w:spacing w:val="0"/>
          <w:lang w:val="en-IE"/>
        </w:rPr>
        <w:t>.</w:t>
      </w:r>
    </w:p>
    <w:p w14:paraId="5E7103AF"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30A74923" w14:textId="77777777" w:rsidR="0072266C" w:rsidRPr="002D336B" w:rsidRDefault="0072266C" w:rsidP="0072266C">
      <w:pPr>
        <w:pStyle w:val="BodyTextIndent"/>
        <w:numPr>
          <w:ilvl w:val="0"/>
          <w:numId w:val="2"/>
        </w:numPr>
        <w:rPr>
          <w:rFonts w:ascii="SDCC Sans" w:eastAsia="SDCC Sans" w:hAnsi="SDCC Sans" w:cs="SDCC Sans"/>
          <w:color w:val="363A92"/>
          <w:spacing w:val="0"/>
          <w:lang w:val="en-IE"/>
        </w:rPr>
      </w:pPr>
      <w:r w:rsidRPr="002D336B">
        <w:rPr>
          <w:rFonts w:ascii="SDCC Sans" w:eastAsia="SDCC Sans" w:hAnsi="SDCC Sans" w:cs="SDCC Sans"/>
          <w:color w:val="363A92"/>
          <w:spacing w:val="0"/>
          <w:lang w:val="en-IE"/>
        </w:rPr>
        <w:t>Method of Calculation of Rent</w:t>
      </w:r>
    </w:p>
    <w:p w14:paraId="1CAD8129" w14:textId="77777777" w:rsidR="0072266C" w:rsidRPr="002D336B" w:rsidRDefault="0072266C" w:rsidP="0072266C">
      <w:pPr>
        <w:pStyle w:val="BodyTextIndent"/>
        <w:ind w:left="360"/>
        <w:rPr>
          <w:rFonts w:ascii="SDCC Sans" w:eastAsia="SDCC Sans" w:hAnsi="SDCC Sans" w:cs="SDCC Sans"/>
          <w:color w:val="363A92"/>
          <w:spacing w:val="0"/>
          <w:lang w:val="en-IE"/>
        </w:rPr>
      </w:pPr>
    </w:p>
    <w:p w14:paraId="4740B346"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The amount of rent to be paid will be calculated as a proportion of the “Assessable Income” as defined under Section 4 below, of the Principal Earner together with a contribution from any Subsidiary Earners in the household, as defined under Section 14 below.</w:t>
      </w:r>
    </w:p>
    <w:p w14:paraId="182A52CF"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2AB78287"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The amount of rent to be paid by the Principal Earner, as defined under Section 14 below, will be calculated at 12.5% of assessable income.</w:t>
      </w:r>
    </w:p>
    <w:p w14:paraId="5D1738C7"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5EEA0BEC" w14:textId="77777777" w:rsidR="0072266C"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Where household assessable income is more than the relevant social housing income eligibility thresholds for their household size, rent will be calculated at 12.5% of all household assessable income plus a further 10% on any household assessable income in excess of the relevant social housing income eligibility thresholds for the household (subject to maximum rents applicable for Subsidiary Earners).</w:t>
      </w:r>
    </w:p>
    <w:p w14:paraId="1B2FCDB2" w14:textId="77777777" w:rsidR="003B74C0" w:rsidRDefault="003B74C0" w:rsidP="0072266C">
      <w:pPr>
        <w:pStyle w:val="BodyTextIndent"/>
        <w:rPr>
          <w:rFonts w:ascii="SDCC Sans" w:eastAsia="SDCC Sans" w:hAnsi="SDCC Sans" w:cs="SDCC Sans"/>
          <w:b w:val="0"/>
          <w:bCs/>
          <w:color w:val="363A92"/>
          <w:spacing w:val="0"/>
          <w:lang w:val="en-IE"/>
        </w:rPr>
      </w:pPr>
    </w:p>
    <w:p w14:paraId="6A44006C" w14:textId="77777777" w:rsidR="003B74C0" w:rsidRPr="002D336B" w:rsidRDefault="003B74C0" w:rsidP="0072266C">
      <w:pPr>
        <w:pStyle w:val="BodyTextIndent"/>
        <w:rPr>
          <w:rFonts w:ascii="SDCC Sans" w:eastAsia="SDCC Sans" w:hAnsi="SDCC Sans" w:cs="SDCC Sans"/>
          <w:b w:val="0"/>
          <w:bCs/>
          <w:color w:val="363A92"/>
          <w:spacing w:val="0"/>
          <w:lang w:val="en-IE"/>
        </w:rPr>
      </w:pPr>
    </w:p>
    <w:p w14:paraId="5B00755A"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lastRenderedPageBreak/>
        <w:t>The current social housing income eligibility thresholds are as follows:</w:t>
      </w:r>
    </w:p>
    <w:p w14:paraId="3BA2DAD5" w14:textId="77777777" w:rsidR="0072266C" w:rsidRPr="002D336B" w:rsidRDefault="0072266C" w:rsidP="0072266C">
      <w:pPr>
        <w:pStyle w:val="BodyTextIndent"/>
        <w:rPr>
          <w:rFonts w:ascii="SDCC Sans" w:eastAsia="SDCC Sans" w:hAnsi="SDCC Sans" w:cs="SDCC Sans"/>
          <w:b w:val="0"/>
          <w:bCs/>
          <w:color w:val="363A92"/>
          <w:spacing w:val="0"/>
          <w:lang w:val="en-IE"/>
        </w:rPr>
      </w:pPr>
    </w:p>
    <w:tbl>
      <w:tblPr>
        <w:tblW w:w="0" w:type="auto"/>
        <w:tblInd w:w="1211" w:type="dxa"/>
        <w:tblBorders>
          <w:top w:val="single" w:sz="4" w:space="0" w:color="363992"/>
          <w:left w:val="single" w:sz="4" w:space="0" w:color="363992"/>
          <w:bottom w:val="single" w:sz="4" w:space="0" w:color="363992"/>
          <w:right w:val="single" w:sz="4" w:space="0" w:color="363992"/>
          <w:insideH w:val="single" w:sz="4" w:space="0" w:color="363992"/>
          <w:insideV w:val="single" w:sz="4" w:space="0" w:color="363992"/>
        </w:tblBorders>
        <w:tblLayout w:type="fixed"/>
        <w:tblCellMar>
          <w:left w:w="0" w:type="dxa"/>
          <w:right w:w="0" w:type="dxa"/>
        </w:tblCellMar>
        <w:tblLook w:val="01E0" w:firstRow="1" w:lastRow="1" w:firstColumn="1" w:lastColumn="1" w:noHBand="0" w:noVBand="0"/>
      </w:tblPr>
      <w:tblGrid>
        <w:gridCol w:w="3897"/>
        <w:gridCol w:w="2127"/>
      </w:tblGrid>
      <w:tr w:rsidR="0072266C" w:rsidRPr="002D336B" w14:paraId="5BC74245" w14:textId="77777777" w:rsidTr="0009492A">
        <w:trPr>
          <w:trHeight w:val="494"/>
        </w:trPr>
        <w:tc>
          <w:tcPr>
            <w:tcW w:w="3897" w:type="dxa"/>
            <w:vAlign w:val="center"/>
          </w:tcPr>
          <w:p w14:paraId="71B1EEC0" w14:textId="77777777" w:rsidR="0072266C" w:rsidRPr="002D336B" w:rsidRDefault="0072266C" w:rsidP="0009492A">
            <w:pPr>
              <w:pStyle w:val="TableParagraph"/>
              <w:jc w:val="center"/>
              <w:rPr>
                <w:rFonts w:ascii="SDCC Sans" w:eastAsia="SDCC Sans" w:hAnsi="SDCC Sans" w:cs="SDCC Sans"/>
                <w:b/>
                <w:color w:val="363A92"/>
                <w:sz w:val="24"/>
                <w:szCs w:val="20"/>
                <w:lang w:val="en-IE"/>
              </w:rPr>
            </w:pPr>
            <w:r w:rsidRPr="002D336B">
              <w:rPr>
                <w:rFonts w:ascii="SDCC Sans" w:eastAsia="SDCC Sans" w:hAnsi="SDCC Sans" w:cs="SDCC Sans"/>
                <w:b/>
                <w:color w:val="363A92"/>
                <w:sz w:val="24"/>
                <w:szCs w:val="20"/>
                <w:lang w:val="en-IE"/>
              </w:rPr>
              <w:t>Category</w:t>
            </w:r>
          </w:p>
        </w:tc>
        <w:tc>
          <w:tcPr>
            <w:tcW w:w="2127" w:type="dxa"/>
            <w:vAlign w:val="center"/>
          </w:tcPr>
          <w:p w14:paraId="52211FA1" w14:textId="77777777" w:rsidR="0072266C" w:rsidRPr="002D336B" w:rsidRDefault="0072266C" w:rsidP="0009492A">
            <w:pPr>
              <w:pStyle w:val="TableParagraph"/>
              <w:jc w:val="center"/>
              <w:rPr>
                <w:rFonts w:ascii="SDCC Sans" w:eastAsia="SDCC Sans" w:hAnsi="SDCC Sans" w:cs="SDCC Sans"/>
                <w:b/>
                <w:color w:val="363A92"/>
                <w:sz w:val="24"/>
                <w:szCs w:val="20"/>
                <w:lang w:val="en-IE"/>
              </w:rPr>
            </w:pPr>
            <w:r w:rsidRPr="002D336B">
              <w:rPr>
                <w:rFonts w:ascii="SDCC Sans" w:eastAsia="SDCC Sans" w:hAnsi="SDCC Sans" w:cs="SDCC Sans"/>
                <w:b/>
                <w:color w:val="363A92"/>
                <w:sz w:val="24"/>
                <w:szCs w:val="20"/>
                <w:lang w:val="en-IE"/>
              </w:rPr>
              <w:t>Net Income</w:t>
            </w:r>
          </w:p>
        </w:tc>
      </w:tr>
      <w:tr w:rsidR="0072266C" w:rsidRPr="002D336B" w14:paraId="1EE3BBA0" w14:textId="77777777" w:rsidTr="0009492A">
        <w:trPr>
          <w:trHeight w:val="491"/>
        </w:trPr>
        <w:tc>
          <w:tcPr>
            <w:tcW w:w="3897" w:type="dxa"/>
            <w:vAlign w:val="center"/>
          </w:tcPr>
          <w:p w14:paraId="064648A8" w14:textId="77777777" w:rsidR="0072266C" w:rsidRPr="002D336B" w:rsidRDefault="0072266C" w:rsidP="0009492A">
            <w:pPr>
              <w:pStyle w:val="TableParagraph"/>
              <w:ind w:left="360"/>
              <w:rPr>
                <w:rFonts w:ascii="SDCC Sans" w:eastAsia="SDCC Sans" w:hAnsi="SDCC Sans" w:cs="SDCC Sans"/>
                <w:bCs/>
                <w:color w:val="363A92"/>
                <w:sz w:val="24"/>
                <w:szCs w:val="20"/>
                <w:lang w:val="en-IE"/>
              </w:rPr>
            </w:pPr>
            <w:r w:rsidRPr="002D336B">
              <w:rPr>
                <w:rFonts w:ascii="SDCC Sans" w:eastAsia="SDCC Sans" w:hAnsi="SDCC Sans" w:cs="SDCC Sans"/>
                <w:bCs/>
                <w:color w:val="363A92"/>
                <w:sz w:val="24"/>
                <w:szCs w:val="20"/>
                <w:lang w:val="en-IE"/>
              </w:rPr>
              <w:t>1 adult</w:t>
            </w:r>
          </w:p>
        </w:tc>
        <w:tc>
          <w:tcPr>
            <w:tcW w:w="2127" w:type="dxa"/>
            <w:vAlign w:val="center"/>
          </w:tcPr>
          <w:p w14:paraId="515E049C" w14:textId="77777777" w:rsidR="0072266C" w:rsidRPr="002D336B" w:rsidRDefault="0072266C" w:rsidP="0009492A">
            <w:pPr>
              <w:pStyle w:val="TableParagraph"/>
              <w:jc w:val="center"/>
              <w:rPr>
                <w:rFonts w:ascii="SDCC Sans" w:eastAsia="SDCC Sans" w:hAnsi="SDCC Sans" w:cs="SDCC Sans"/>
                <w:bCs/>
                <w:color w:val="363A92"/>
                <w:sz w:val="24"/>
                <w:szCs w:val="20"/>
                <w:lang w:val="en-IE"/>
              </w:rPr>
            </w:pPr>
            <w:r w:rsidRPr="002D336B">
              <w:rPr>
                <w:rFonts w:ascii="SDCC Sans" w:eastAsia="SDCC Sans" w:hAnsi="SDCC Sans" w:cs="SDCC Sans"/>
                <w:bCs/>
                <w:color w:val="363A92"/>
                <w:sz w:val="24"/>
                <w:szCs w:val="20"/>
                <w:lang w:val="en-IE"/>
              </w:rPr>
              <w:t>€40,000</w:t>
            </w:r>
          </w:p>
        </w:tc>
      </w:tr>
      <w:tr w:rsidR="0072266C" w:rsidRPr="002D336B" w14:paraId="0C19CFA5" w14:textId="77777777" w:rsidTr="0009492A">
        <w:trPr>
          <w:trHeight w:val="494"/>
        </w:trPr>
        <w:tc>
          <w:tcPr>
            <w:tcW w:w="3897" w:type="dxa"/>
            <w:vAlign w:val="center"/>
          </w:tcPr>
          <w:p w14:paraId="21A1B2A2" w14:textId="77777777" w:rsidR="0072266C" w:rsidRPr="002D336B" w:rsidRDefault="0072266C" w:rsidP="0009492A">
            <w:pPr>
              <w:pStyle w:val="TableParagraph"/>
              <w:spacing w:before="3"/>
              <w:ind w:left="360"/>
              <w:rPr>
                <w:rFonts w:ascii="SDCC Sans" w:eastAsia="SDCC Sans" w:hAnsi="SDCC Sans" w:cs="SDCC Sans"/>
                <w:bCs/>
                <w:color w:val="363A92"/>
                <w:sz w:val="24"/>
                <w:szCs w:val="20"/>
                <w:lang w:val="en-IE"/>
              </w:rPr>
            </w:pPr>
            <w:r w:rsidRPr="002D336B">
              <w:rPr>
                <w:rFonts w:ascii="SDCC Sans" w:eastAsia="SDCC Sans" w:hAnsi="SDCC Sans" w:cs="SDCC Sans"/>
                <w:bCs/>
                <w:color w:val="363A92"/>
                <w:sz w:val="24"/>
                <w:szCs w:val="20"/>
                <w:lang w:val="en-IE"/>
              </w:rPr>
              <w:t>1 adult &amp; 1 child</w:t>
            </w:r>
          </w:p>
        </w:tc>
        <w:tc>
          <w:tcPr>
            <w:tcW w:w="2127" w:type="dxa"/>
            <w:vAlign w:val="center"/>
          </w:tcPr>
          <w:p w14:paraId="534EAB98" w14:textId="77777777" w:rsidR="0072266C" w:rsidRPr="002D336B" w:rsidRDefault="0072266C" w:rsidP="0009492A">
            <w:pPr>
              <w:pStyle w:val="TableParagraph"/>
              <w:jc w:val="center"/>
              <w:rPr>
                <w:rFonts w:ascii="SDCC Sans" w:eastAsia="SDCC Sans" w:hAnsi="SDCC Sans" w:cs="SDCC Sans"/>
                <w:bCs/>
                <w:color w:val="363A92"/>
                <w:sz w:val="24"/>
                <w:szCs w:val="20"/>
                <w:lang w:val="en-IE"/>
              </w:rPr>
            </w:pPr>
            <w:r w:rsidRPr="002D336B">
              <w:rPr>
                <w:rFonts w:ascii="SDCC Sans" w:eastAsia="SDCC Sans" w:hAnsi="SDCC Sans" w:cs="SDCC Sans"/>
                <w:bCs/>
                <w:color w:val="363A92"/>
                <w:sz w:val="24"/>
                <w:szCs w:val="20"/>
                <w:lang w:val="en-IE"/>
              </w:rPr>
              <w:t>€41,000</w:t>
            </w:r>
          </w:p>
        </w:tc>
      </w:tr>
      <w:tr w:rsidR="0072266C" w:rsidRPr="002D336B" w14:paraId="5F17DE11" w14:textId="77777777" w:rsidTr="0009492A">
        <w:trPr>
          <w:trHeight w:val="494"/>
        </w:trPr>
        <w:tc>
          <w:tcPr>
            <w:tcW w:w="3897" w:type="dxa"/>
            <w:vAlign w:val="center"/>
          </w:tcPr>
          <w:p w14:paraId="553FB638" w14:textId="77777777" w:rsidR="0072266C" w:rsidRPr="002D336B" w:rsidRDefault="0072266C" w:rsidP="0009492A">
            <w:pPr>
              <w:pStyle w:val="TableParagraph"/>
              <w:ind w:left="360"/>
              <w:rPr>
                <w:rFonts w:ascii="SDCC Sans" w:eastAsia="SDCC Sans" w:hAnsi="SDCC Sans" w:cs="SDCC Sans"/>
                <w:bCs/>
                <w:color w:val="363A92"/>
                <w:sz w:val="24"/>
                <w:szCs w:val="20"/>
                <w:lang w:val="en-IE"/>
              </w:rPr>
            </w:pPr>
            <w:r w:rsidRPr="002D336B">
              <w:rPr>
                <w:rFonts w:ascii="SDCC Sans" w:eastAsia="SDCC Sans" w:hAnsi="SDCC Sans" w:cs="SDCC Sans"/>
                <w:bCs/>
                <w:color w:val="363A92"/>
                <w:sz w:val="24"/>
                <w:szCs w:val="20"/>
                <w:lang w:val="en-IE"/>
              </w:rPr>
              <w:t>1 adult &amp; 2 children</w:t>
            </w:r>
          </w:p>
        </w:tc>
        <w:tc>
          <w:tcPr>
            <w:tcW w:w="2127" w:type="dxa"/>
            <w:vAlign w:val="center"/>
          </w:tcPr>
          <w:p w14:paraId="083E74EA" w14:textId="77777777" w:rsidR="0072266C" w:rsidRPr="002D336B" w:rsidRDefault="0072266C" w:rsidP="0009492A">
            <w:pPr>
              <w:pStyle w:val="TableParagraph"/>
              <w:jc w:val="center"/>
              <w:rPr>
                <w:rFonts w:ascii="SDCC Sans" w:eastAsia="SDCC Sans" w:hAnsi="SDCC Sans" w:cs="SDCC Sans"/>
                <w:bCs/>
                <w:color w:val="363A92"/>
                <w:sz w:val="24"/>
                <w:szCs w:val="20"/>
                <w:lang w:val="en-IE"/>
              </w:rPr>
            </w:pPr>
            <w:r w:rsidRPr="002D336B">
              <w:rPr>
                <w:rFonts w:ascii="SDCC Sans" w:eastAsia="SDCC Sans" w:hAnsi="SDCC Sans" w:cs="SDCC Sans"/>
                <w:bCs/>
                <w:color w:val="363A92"/>
                <w:sz w:val="24"/>
                <w:szCs w:val="20"/>
                <w:lang w:val="en-IE"/>
              </w:rPr>
              <w:t>€42,000</w:t>
            </w:r>
          </w:p>
        </w:tc>
      </w:tr>
      <w:tr w:rsidR="0072266C" w:rsidRPr="002D336B" w14:paraId="030A19D7" w14:textId="77777777" w:rsidTr="0009492A">
        <w:trPr>
          <w:trHeight w:val="491"/>
        </w:trPr>
        <w:tc>
          <w:tcPr>
            <w:tcW w:w="3897" w:type="dxa"/>
            <w:vAlign w:val="center"/>
          </w:tcPr>
          <w:p w14:paraId="31AF20B2" w14:textId="77777777" w:rsidR="0072266C" w:rsidRPr="002D336B" w:rsidRDefault="0072266C" w:rsidP="0009492A">
            <w:pPr>
              <w:pStyle w:val="TableParagraph"/>
              <w:ind w:left="360"/>
              <w:rPr>
                <w:rFonts w:ascii="SDCC Sans" w:eastAsia="SDCC Sans" w:hAnsi="SDCC Sans" w:cs="SDCC Sans"/>
                <w:bCs/>
                <w:color w:val="363A92"/>
                <w:sz w:val="24"/>
                <w:szCs w:val="20"/>
                <w:lang w:val="en-IE"/>
              </w:rPr>
            </w:pPr>
            <w:r w:rsidRPr="002D336B">
              <w:rPr>
                <w:rFonts w:ascii="SDCC Sans" w:eastAsia="SDCC Sans" w:hAnsi="SDCC Sans" w:cs="SDCC Sans"/>
                <w:bCs/>
                <w:color w:val="363A92"/>
                <w:sz w:val="24"/>
                <w:szCs w:val="20"/>
                <w:lang w:val="en-IE"/>
              </w:rPr>
              <w:t>1 adult &amp; 3 children</w:t>
            </w:r>
          </w:p>
        </w:tc>
        <w:tc>
          <w:tcPr>
            <w:tcW w:w="2127" w:type="dxa"/>
            <w:vAlign w:val="center"/>
          </w:tcPr>
          <w:p w14:paraId="2686236F" w14:textId="77777777" w:rsidR="0072266C" w:rsidRPr="002D336B" w:rsidRDefault="0072266C" w:rsidP="0009492A">
            <w:pPr>
              <w:pStyle w:val="TableParagraph"/>
              <w:jc w:val="center"/>
              <w:rPr>
                <w:rFonts w:ascii="SDCC Sans" w:eastAsia="SDCC Sans" w:hAnsi="SDCC Sans" w:cs="SDCC Sans"/>
                <w:bCs/>
                <w:color w:val="363A92"/>
                <w:sz w:val="24"/>
                <w:szCs w:val="20"/>
                <w:lang w:val="en-IE"/>
              </w:rPr>
            </w:pPr>
            <w:r w:rsidRPr="002D336B">
              <w:rPr>
                <w:rFonts w:ascii="SDCC Sans" w:eastAsia="SDCC Sans" w:hAnsi="SDCC Sans" w:cs="SDCC Sans"/>
                <w:bCs/>
                <w:color w:val="363A92"/>
                <w:sz w:val="24"/>
                <w:szCs w:val="20"/>
                <w:lang w:val="en-IE"/>
              </w:rPr>
              <w:t>€43,000</w:t>
            </w:r>
          </w:p>
        </w:tc>
      </w:tr>
      <w:tr w:rsidR="0072266C" w:rsidRPr="002D336B" w14:paraId="26353DE4" w14:textId="77777777" w:rsidTr="0009492A">
        <w:trPr>
          <w:trHeight w:val="493"/>
        </w:trPr>
        <w:tc>
          <w:tcPr>
            <w:tcW w:w="3897" w:type="dxa"/>
            <w:vAlign w:val="center"/>
          </w:tcPr>
          <w:p w14:paraId="358E0FA5" w14:textId="77777777" w:rsidR="0072266C" w:rsidRPr="002D336B" w:rsidRDefault="0072266C" w:rsidP="0009492A">
            <w:pPr>
              <w:pStyle w:val="TableParagraph"/>
              <w:ind w:left="360"/>
              <w:rPr>
                <w:rFonts w:ascii="SDCC Sans" w:eastAsia="SDCC Sans" w:hAnsi="SDCC Sans" w:cs="SDCC Sans"/>
                <w:bCs/>
                <w:color w:val="363A92"/>
                <w:sz w:val="24"/>
                <w:szCs w:val="20"/>
                <w:lang w:val="en-IE"/>
              </w:rPr>
            </w:pPr>
            <w:r w:rsidRPr="002D336B">
              <w:rPr>
                <w:rFonts w:ascii="SDCC Sans" w:eastAsia="SDCC Sans" w:hAnsi="SDCC Sans" w:cs="SDCC Sans"/>
                <w:bCs/>
                <w:color w:val="363A92"/>
                <w:sz w:val="24"/>
                <w:szCs w:val="20"/>
                <w:lang w:val="en-IE"/>
              </w:rPr>
              <w:t>2 adults</w:t>
            </w:r>
          </w:p>
        </w:tc>
        <w:tc>
          <w:tcPr>
            <w:tcW w:w="2127" w:type="dxa"/>
            <w:vAlign w:val="center"/>
          </w:tcPr>
          <w:p w14:paraId="25FAEBCF" w14:textId="77777777" w:rsidR="0072266C" w:rsidRPr="002D336B" w:rsidRDefault="0072266C" w:rsidP="0009492A">
            <w:pPr>
              <w:pStyle w:val="TableParagraph"/>
              <w:jc w:val="center"/>
              <w:rPr>
                <w:rFonts w:ascii="SDCC Sans" w:eastAsia="SDCC Sans" w:hAnsi="SDCC Sans" w:cs="SDCC Sans"/>
                <w:bCs/>
                <w:color w:val="363A92"/>
                <w:sz w:val="24"/>
                <w:szCs w:val="20"/>
                <w:lang w:val="en-IE"/>
              </w:rPr>
            </w:pPr>
            <w:r w:rsidRPr="002D336B">
              <w:rPr>
                <w:rFonts w:ascii="SDCC Sans" w:eastAsia="SDCC Sans" w:hAnsi="SDCC Sans" w:cs="SDCC Sans"/>
                <w:bCs/>
                <w:color w:val="363A92"/>
                <w:sz w:val="24"/>
                <w:szCs w:val="20"/>
                <w:lang w:val="en-IE"/>
              </w:rPr>
              <w:t>€42,000</w:t>
            </w:r>
          </w:p>
        </w:tc>
      </w:tr>
      <w:tr w:rsidR="0072266C" w:rsidRPr="002D336B" w14:paraId="4154A164" w14:textId="77777777" w:rsidTr="0009492A">
        <w:trPr>
          <w:trHeight w:val="491"/>
        </w:trPr>
        <w:tc>
          <w:tcPr>
            <w:tcW w:w="3897" w:type="dxa"/>
            <w:vAlign w:val="center"/>
          </w:tcPr>
          <w:p w14:paraId="63941790" w14:textId="77777777" w:rsidR="0072266C" w:rsidRPr="002D336B" w:rsidRDefault="0072266C" w:rsidP="0009492A">
            <w:pPr>
              <w:pStyle w:val="TableParagraph"/>
              <w:ind w:left="360"/>
              <w:rPr>
                <w:rFonts w:ascii="SDCC Sans" w:eastAsia="SDCC Sans" w:hAnsi="SDCC Sans" w:cs="SDCC Sans"/>
                <w:bCs/>
                <w:color w:val="363A92"/>
                <w:sz w:val="24"/>
                <w:szCs w:val="20"/>
                <w:lang w:val="en-IE"/>
              </w:rPr>
            </w:pPr>
            <w:r w:rsidRPr="002D336B">
              <w:rPr>
                <w:rFonts w:ascii="SDCC Sans" w:eastAsia="SDCC Sans" w:hAnsi="SDCC Sans" w:cs="SDCC Sans"/>
                <w:bCs/>
                <w:color w:val="363A92"/>
                <w:sz w:val="24"/>
                <w:szCs w:val="20"/>
                <w:lang w:val="en-IE"/>
              </w:rPr>
              <w:t xml:space="preserve">2 adults &amp; 1 </w:t>
            </w:r>
            <w:bookmarkStart w:id="0" w:name="_Int_4leK6kay"/>
            <w:proofErr w:type="gramStart"/>
            <w:r w:rsidRPr="002D336B">
              <w:rPr>
                <w:rFonts w:ascii="SDCC Sans" w:eastAsia="SDCC Sans" w:hAnsi="SDCC Sans" w:cs="SDCC Sans"/>
                <w:bCs/>
                <w:color w:val="363A92"/>
                <w:sz w:val="24"/>
                <w:szCs w:val="20"/>
                <w:lang w:val="en-IE"/>
              </w:rPr>
              <w:t>child</w:t>
            </w:r>
            <w:bookmarkEnd w:id="0"/>
            <w:proofErr w:type="gramEnd"/>
          </w:p>
        </w:tc>
        <w:tc>
          <w:tcPr>
            <w:tcW w:w="2127" w:type="dxa"/>
            <w:vAlign w:val="center"/>
          </w:tcPr>
          <w:p w14:paraId="4358D0F2" w14:textId="77777777" w:rsidR="0072266C" w:rsidRPr="002D336B" w:rsidRDefault="0072266C" w:rsidP="0009492A">
            <w:pPr>
              <w:pStyle w:val="TableParagraph"/>
              <w:jc w:val="center"/>
              <w:rPr>
                <w:rFonts w:ascii="SDCC Sans" w:eastAsia="SDCC Sans" w:hAnsi="SDCC Sans" w:cs="SDCC Sans"/>
                <w:bCs/>
                <w:color w:val="363A92"/>
                <w:sz w:val="24"/>
                <w:szCs w:val="20"/>
                <w:lang w:val="en-IE"/>
              </w:rPr>
            </w:pPr>
            <w:r w:rsidRPr="002D336B">
              <w:rPr>
                <w:rFonts w:ascii="SDCC Sans" w:eastAsia="SDCC Sans" w:hAnsi="SDCC Sans" w:cs="SDCC Sans"/>
                <w:bCs/>
                <w:color w:val="363A92"/>
                <w:sz w:val="24"/>
                <w:szCs w:val="20"/>
                <w:lang w:val="en-IE"/>
              </w:rPr>
              <w:t>€43,000</w:t>
            </w:r>
          </w:p>
        </w:tc>
      </w:tr>
      <w:tr w:rsidR="0072266C" w:rsidRPr="002D336B" w14:paraId="6676B6E9" w14:textId="77777777" w:rsidTr="0009492A">
        <w:trPr>
          <w:trHeight w:val="493"/>
        </w:trPr>
        <w:tc>
          <w:tcPr>
            <w:tcW w:w="3897" w:type="dxa"/>
            <w:vAlign w:val="center"/>
          </w:tcPr>
          <w:p w14:paraId="66C04C1F" w14:textId="77777777" w:rsidR="0072266C" w:rsidRPr="002D336B" w:rsidRDefault="0072266C" w:rsidP="0009492A">
            <w:pPr>
              <w:pStyle w:val="TableParagraph"/>
              <w:spacing w:before="3"/>
              <w:ind w:left="360"/>
              <w:rPr>
                <w:rFonts w:ascii="SDCC Sans" w:eastAsia="SDCC Sans" w:hAnsi="SDCC Sans" w:cs="SDCC Sans"/>
                <w:bCs/>
                <w:color w:val="363A92"/>
                <w:sz w:val="24"/>
                <w:szCs w:val="20"/>
                <w:lang w:val="en-IE"/>
              </w:rPr>
            </w:pPr>
            <w:r w:rsidRPr="002D336B">
              <w:rPr>
                <w:rFonts w:ascii="SDCC Sans" w:eastAsia="SDCC Sans" w:hAnsi="SDCC Sans" w:cs="SDCC Sans"/>
                <w:bCs/>
                <w:color w:val="363A92"/>
                <w:sz w:val="24"/>
                <w:szCs w:val="20"/>
                <w:lang w:val="en-IE"/>
              </w:rPr>
              <w:t>2 adults &amp; 2 children</w:t>
            </w:r>
          </w:p>
        </w:tc>
        <w:tc>
          <w:tcPr>
            <w:tcW w:w="2127" w:type="dxa"/>
            <w:vAlign w:val="center"/>
          </w:tcPr>
          <w:p w14:paraId="7A353672" w14:textId="77777777" w:rsidR="0072266C" w:rsidRPr="002D336B" w:rsidRDefault="0072266C" w:rsidP="0009492A">
            <w:pPr>
              <w:pStyle w:val="TableParagraph"/>
              <w:jc w:val="center"/>
              <w:rPr>
                <w:rFonts w:ascii="SDCC Sans" w:eastAsia="SDCC Sans" w:hAnsi="SDCC Sans" w:cs="SDCC Sans"/>
                <w:bCs/>
                <w:color w:val="363A92"/>
                <w:sz w:val="24"/>
                <w:szCs w:val="20"/>
                <w:lang w:val="en-IE"/>
              </w:rPr>
            </w:pPr>
            <w:r w:rsidRPr="002D336B">
              <w:rPr>
                <w:rFonts w:ascii="SDCC Sans" w:eastAsia="SDCC Sans" w:hAnsi="SDCC Sans" w:cs="SDCC Sans"/>
                <w:bCs/>
                <w:color w:val="363A92"/>
                <w:sz w:val="24"/>
                <w:szCs w:val="20"/>
                <w:lang w:val="en-IE"/>
              </w:rPr>
              <w:t>€44,000</w:t>
            </w:r>
          </w:p>
        </w:tc>
      </w:tr>
      <w:tr w:rsidR="0072266C" w:rsidRPr="002D336B" w14:paraId="057060A7" w14:textId="77777777" w:rsidTr="0009492A">
        <w:trPr>
          <w:trHeight w:val="494"/>
        </w:trPr>
        <w:tc>
          <w:tcPr>
            <w:tcW w:w="3897" w:type="dxa"/>
            <w:vAlign w:val="center"/>
          </w:tcPr>
          <w:p w14:paraId="73540074" w14:textId="77777777" w:rsidR="0072266C" w:rsidRPr="002D336B" w:rsidRDefault="0072266C" w:rsidP="0009492A">
            <w:pPr>
              <w:pStyle w:val="TableParagraph"/>
              <w:ind w:left="360"/>
              <w:rPr>
                <w:rFonts w:ascii="SDCC Sans" w:eastAsia="SDCC Sans" w:hAnsi="SDCC Sans" w:cs="SDCC Sans"/>
                <w:bCs/>
                <w:color w:val="363A92"/>
                <w:sz w:val="24"/>
                <w:szCs w:val="20"/>
                <w:lang w:val="en-IE"/>
              </w:rPr>
            </w:pPr>
            <w:r w:rsidRPr="002D336B">
              <w:rPr>
                <w:rFonts w:ascii="SDCC Sans" w:eastAsia="SDCC Sans" w:hAnsi="SDCC Sans" w:cs="SDCC Sans"/>
                <w:bCs/>
                <w:color w:val="363A92"/>
                <w:sz w:val="24"/>
                <w:szCs w:val="20"/>
                <w:lang w:val="en-IE"/>
              </w:rPr>
              <w:t>3 adults</w:t>
            </w:r>
          </w:p>
        </w:tc>
        <w:tc>
          <w:tcPr>
            <w:tcW w:w="2127" w:type="dxa"/>
            <w:vAlign w:val="center"/>
          </w:tcPr>
          <w:p w14:paraId="78A24CFC" w14:textId="77777777" w:rsidR="0072266C" w:rsidRPr="002D336B" w:rsidRDefault="0072266C" w:rsidP="0009492A">
            <w:pPr>
              <w:pStyle w:val="TableParagraph"/>
              <w:jc w:val="center"/>
              <w:rPr>
                <w:rFonts w:ascii="SDCC Sans" w:eastAsia="SDCC Sans" w:hAnsi="SDCC Sans" w:cs="SDCC Sans"/>
                <w:bCs/>
                <w:color w:val="363A92"/>
                <w:sz w:val="24"/>
                <w:szCs w:val="20"/>
                <w:lang w:val="en-IE"/>
              </w:rPr>
            </w:pPr>
            <w:r w:rsidRPr="002D336B">
              <w:rPr>
                <w:rFonts w:ascii="SDCC Sans" w:eastAsia="SDCC Sans" w:hAnsi="SDCC Sans" w:cs="SDCC Sans"/>
                <w:bCs/>
                <w:color w:val="363A92"/>
                <w:sz w:val="24"/>
                <w:szCs w:val="20"/>
                <w:lang w:val="en-IE"/>
              </w:rPr>
              <w:t>€44,000</w:t>
            </w:r>
          </w:p>
        </w:tc>
      </w:tr>
      <w:tr w:rsidR="0072266C" w:rsidRPr="002D336B" w14:paraId="3D4746AD" w14:textId="77777777" w:rsidTr="0009492A">
        <w:trPr>
          <w:trHeight w:val="492"/>
        </w:trPr>
        <w:tc>
          <w:tcPr>
            <w:tcW w:w="3897" w:type="dxa"/>
            <w:vAlign w:val="center"/>
          </w:tcPr>
          <w:p w14:paraId="433898F2" w14:textId="77777777" w:rsidR="0072266C" w:rsidRPr="002D336B" w:rsidRDefault="0072266C" w:rsidP="0009492A">
            <w:pPr>
              <w:pStyle w:val="TableParagraph"/>
              <w:ind w:left="360"/>
              <w:rPr>
                <w:rFonts w:ascii="SDCC Sans" w:eastAsia="SDCC Sans" w:hAnsi="SDCC Sans" w:cs="SDCC Sans"/>
                <w:bCs/>
                <w:color w:val="363A92"/>
                <w:sz w:val="24"/>
                <w:szCs w:val="20"/>
                <w:lang w:val="en-IE"/>
              </w:rPr>
            </w:pPr>
            <w:r w:rsidRPr="002D336B">
              <w:rPr>
                <w:rFonts w:ascii="SDCC Sans" w:eastAsia="SDCC Sans" w:hAnsi="SDCC Sans" w:cs="SDCC Sans"/>
                <w:bCs/>
                <w:color w:val="363A92"/>
                <w:sz w:val="24"/>
                <w:szCs w:val="20"/>
                <w:lang w:val="en-IE"/>
              </w:rPr>
              <w:t>4 adults</w:t>
            </w:r>
          </w:p>
        </w:tc>
        <w:tc>
          <w:tcPr>
            <w:tcW w:w="2127" w:type="dxa"/>
            <w:vAlign w:val="center"/>
          </w:tcPr>
          <w:p w14:paraId="6D50512E" w14:textId="77777777" w:rsidR="0072266C" w:rsidRPr="002D336B" w:rsidRDefault="0072266C" w:rsidP="0009492A">
            <w:pPr>
              <w:pStyle w:val="TableParagraph"/>
              <w:jc w:val="center"/>
              <w:rPr>
                <w:rFonts w:ascii="SDCC Sans" w:eastAsia="SDCC Sans" w:hAnsi="SDCC Sans" w:cs="SDCC Sans"/>
                <w:bCs/>
                <w:color w:val="363A92"/>
                <w:sz w:val="24"/>
                <w:szCs w:val="20"/>
                <w:lang w:val="en-IE"/>
              </w:rPr>
            </w:pPr>
            <w:r w:rsidRPr="002D336B">
              <w:rPr>
                <w:rFonts w:ascii="SDCC Sans" w:eastAsia="SDCC Sans" w:hAnsi="SDCC Sans" w:cs="SDCC Sans"/>
                <w:bCs/>
                <w:color w:val="363A92"/>
                <w:sz w:val="24"/>
                <w:szCs w:val="20"/>
                <w:lang w:val="en-IE"/>
              </w:rPr>
              <w:t>€44,000</w:t>
            </w:r>
          </w:p>
        </w:tc>
      </w:tr>
    </w:tbl>
    <w:p w14:paraId="726F2327"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2CA473E0"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3BFE10A6"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The annual income threshold is €40,000 for one adult.</w:t>
      </w:r>
      <w:r w:rsidRPr="002D336B">
        <w:rPr>
          <w:rFonts w:ascii="Cambria" w:eastAsia="SDCC Sans" w:hAnsi="Cambria" w:cs="Cambria"/>
          <w:b w:val="0"/>
          <w:bCs/>
          <w:color w:val="363A92"/>
          <w:spacing w:val="0"/>
          <w:lang w:val="en-IE"/>
        </w:rPr>
        <w:t> </w:t>
      </w:r>
      <w:r w:rsidRPr="002D336B">
        <w:rPr>
          <w:rFonts w:ascii="SDCC Sans" w:eastAsia="SDCC Sans" w:hAnsi="SDCC Sans" w:cs="SDCC Sans"/>
          <w:b w:val="0"/>
          <w:bCs/>
          <w:color w:val="363A92"/>
          <w:spacing w:val="0"/>
          <w:lang w:val="en-IE"/>
        </w:rPr>
        <w:t xml:space="preserve"> This threshold increases by €2,000 for each additional adult, up to a maximum adult threshold of €44,000.</w:t>
      </w:r>
    </w:p>
    <w:p w14:paraId="1CD17398"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2A4C460B"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An additional €1,000 per annum is permitted for each dependent child.</w:t>
      </w:r>
    </w:p>
    <w:p w14:paraId="4B27D3D6"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51F6894A"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For example, a household comprising 3 adults and 2 children would have a total annual income threshold of €46,000 (3 Adults €44,000 + 2 children €2,000).</w:t>
      </w:r>
    </w:p>
    <w:p w14:paraId="79FDBFD5"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16B55A6C"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After the amount of rent to be paid by the Principal Earner has been assessed, the following will apply:</w:t>
      </w:r>
    </w:p>
    <w:p w14:paraId="465AA771"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1ED67B76" w14:textId="77777777" w:rsidR="0072266C" w:rsidRPr="002D336B" w:rsidRDefault="0072266C" w:rsidP="0072266C">
      <w:pPr>
        <w:pStyle w:val="BodyTextIndent"/>
        <w:numPr>
          <w:ilvl w:val="0"/>
          <w:numId w:val="1"/>
        </w:numPr>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Rent will be calculated at 12.5% of income for each Subsidiary Earner up to a maximum of €40 per week per Subsidiary Earner.</w:t>
      </w:r>
    </w:p>
    <w:p w14:paraId="254B1671" w14:textId="77777777" w:rsidR="0072266C" w:rsidRPr="002D336B" w:rsidRDefault="0072266C" w:rsidP="0072266C">
      <w:pPr>
        <w:pStyle w:val="BodyTextIndent"/>
        <w:ind w:left="1080"/>
        <w:rPr>
          <w:rFonts w:ascii="SDCC Sans" w:eastAsia="SDCC Sans" w:hAnsi="SDCC Sans" w:cs="SDCC Sans"/>
          <w:b w:val="0"/>
          <w:bCs/>
          <w:color w:val="363A92"/>
          <w:spacing w:val="0"/>
          <w:lang w:val="en-IE"/>
        </w:rPr>
      </w:pPr>
    </w:p>
    <w:p w14:paraId="4CA8A5D9" w14:textId="77777777" w:rsidR="0072266C" w:rsidRPr="002D336B" w:rsidRDefault="0072266C" w:rsidP="0072266C">
      <w:pPr>
        <w:pStyle w:val="BodyTextIndent"/>
        <w:numPr>
          <w:ilvl w:val="0"/>
          <w:numId w:val="1"/>
        </w:numPr>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Weekly rent will be reduced by €2 per week for each dependent child under 18 years of age, except where that child is in receipt of an income.</w:t>
      </w:r>
    </w:p>
    <w:p w14:paraId="7F73D617" w14:textId="77777777" w:rsidR="0072266C" w:rsidRPr="002D336B" w:rsidRDefault="0072266C" w:rsidP="0072266C">
      <w:pPr>
        <w:pStyle w:val="ListParagraph"/>
        <w:rPr>
          <w:rFonts w:ascii="SDCC Sans" w:eastAsia="SDCC Sans" w:hAnsi="SDCC Sans" w:cs="SDCC Sans"/>
          <w:b/>
          <w:bCs/>
          <w:color w:val="363A92"/>
          <w:lang w:val="en-IE"/>
        </w:rPr>
      </w:pPr>
    </w:p>
    <w:p w14:paraId="248E3AD5" w14:textId="77777777" w:rsidR="0072266C" w:rsidRPr="002D336B" w:rsidRDefault="0072266C" w:rsidP="0072266C">
      <w:pPr>
        <w:pStyle w:val="BodyTextIndent"/>
        <w:ind w:left="1080"/>
        <w:rPr>
          <w:rFonts w:ascii="SDCC Sans" w:eastAsia="SDCC Sans" w:hAnsi="SDCC Sans" w:cs="SDCC Sans"/>
          <w:b w:val="0"/>
          <w:bCs/>
          <w:color w:val="363A92"/>
          <w:spacing w:val="0"/>
          <w:lang w:val="en-IE"/>
        </w:rPr>
      </w:pPr>
    </w:p>
    <w:p w14:paraId="7CEF4387" w14:textId="77777777" w:rsidR="0072266C" w:rsidRPr="002D336B" w:rsidRDefault="0072266C" w:rsidP="0072266C">
      <w:pPr>
        <w:pStyle w:val="BodyTextIndent"/>
        <w:numPr>
          <w:ilvl w:val="0"/>
          <w:numId w:val="2"/>
        </w:numPr>
        <w:rPr>
          <w:rFonts w:ascii="SDCC Sans" w:eastAsia="SDCC Sans" w:hAnsi="SDCC Sans" w:cs="SDCC Sans"/>
          <w:color w:val="363A92"/>
          <w:spacing w:val="0"/>
          <w:lang w:val="en-IE"/>
        </w:rPr>
      </w:pPr>
      <w:r w:rsidRPr="002D336B">
        <w:rPr>
          <w:rFonts w:ascii="SDCC Sans" w:eastAsia="SDCC Sans" w:hAnsi="SDCC Sans" w:cs="SDCC Sans"/>
          <w:color w:val="363A92"/>
          <w:spacing w:val="0"/>
          <w:lang w:val="en-IE"/>
        </w:rPr>
        <w:t>Minimum Rents</w:t>
      </w:r>
    </w:p>
    <w:p w14:paraId="01FEA01C" w14:textId="77777777" w:rsidR="0072266C" w:rsidRPr="002D336B" w:rsidRDefault="0072266C" w:rsidP="0072266C">
      <w:pPr>
        <w:pStyle w:val="BodyTextIndent"/>
        <w:rPr>
          <w:rFonts w:ascii="SDCC Sans" w:eastAsia="SDCC Sans" w:hAnsi="SDCC Sans" w:cs="SDCC Sans"/>
          <w:color w:val="363A92"/>
          <w:spacing w:val="0"/>
          <w:lang w:val="en-IE"/>
        </w:rPr>
      </w:pPr>
    </w:p>
    <w:p w14:paraId="205114A3"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A minimum weekly rent of €35 will generally apply to all tenancies in respect of rented dwellings. This is exclusive of additional charges under Section 13.</w:t>
      </w:r>
    </w:p>
    <w:p w14:paraId="6191691D"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227A5B59"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Certain tenancies, where the sole occupant is aged sixty-five or over and in receipt of an income less than or equivalent to the State Pension contributory rate of €299.30, will be eligible for a €10 weekly discount.</w:t>
      </w:r>
    </w:p>
    <w:p w14:paraId="4B0F28B1"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1F98F375"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lastRenderedPageBreak/>
        <w:t>A discount on rent of €20 per week (including the €10 weekly discount referred to above, where applicable) will apply for the first year of a new tenancy in age friendly housing where a rightsizing transfer from existing social housing has been completed by the tenant(s)</w:t>
      </w:r>
      <w:r w:rsidRPr="002D336B">
        <w:rPr>
          <w:rFonts w:ascii="Cambria" w:eastAsia="SDCC Sans" w:hAnsi="Cambria" w:cs="Cambria"/>
          <w:b w:val="0"/>
          <w:bCs/>
          <w:color w:val="363A92"/>
          <w:spacing w:val="0"/>
          <w:lang w:val="en-IE"/>
        </w:rPr>
        <w:t> </w:t>
      </w:r>
      <w:r w:rsidRPr="002D336B">
        <w:rPr>
          <w:rFonts w:ascii="SDCC Sans" w:eastAsia="SDCC Sans" w:hAnsi="SDCC Sans" w:cs="SDCC Sans"/>
          <w:b w:val="0"/>
          <w:bCs/>
          <w:color w:val="363A92"/>
          <w:spacing w:val="0"/>
          <w:lang w:val="en-IE"/>
        </w:rPr>
        <w:t>in accordance with our</w:t>
      </w:r>
      <w:r w:rsidRPr="002D336B">
        <w:rPr>
          <w:rFonts w:ascii="Cambria" w:eastAsia="SDCC Sans" w:hAnsi="Cambria" w:cs="Cambria"/>
          <w:b w:val="0"/>
          <w:bCs/>
          <w:color w:val="363A92"/>
          <w:spacing w:val="0"/>
          <w:lang w:val="en-IE"/>
        </w:rPr>
        <w:t> </w:t>
      </w:r>
      <w:r w:rsidRPr="002D336B">
        <w:rPr>
          <w:rFonts w:ascii="SDCC Sans" w:eastAsia="SDCC Sans" w:hAnsi="SDCC Sans" w:cs="SDCC Sans"/>
          <w:b w:val="0"/>
          <w:bCs/>
          <w:color w:val="363A92"/>
          <w:spacing w:val="0"/>
          <w:lang w:val="en-IE"/>
        </w:rPr>
        <w:t>Policy for Rightsizing and Allocation of Age Friendly Accommodation.</w:t>
      </w:r>
    </w:p>
    <w:p w14:paraId="49C08B39"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7AA9DAA0" w14:textId="77777777" w:rsidR="0072266C" w:rsidRPr="002D336B" w:rsidRDefault="0072266C" w:rsidP="0072266C">
      <w:pPr>
        <w:pStyle w:val="BodyTextIndent"/>
        <w:numPr>
          <w:ilvl w:val="0"/>
          <w:numId w:val="2"/>
        </w:numPr>
        <w:rPr>
          <w:rFonts w:ascii="SDCC Sans" w:eastAsia="SDCC Sans" w:hAnsi="SDCC Sans" w:cs="SDCC Sans"/>
          <w:color w:val="363A92"/>
          <w:spacing w:val="0"/>
          <w:lang w:val="en-IE"/>
        </w:rPr>
      </w:pPr>
      <w:r w:rsidRPr="002D336B">
        <w:rPr>
          <w:rFonts w:ascii="SDCC Sans" w:eastAsia="SDCC Sans" w:hAnsi="SDCC Sans" w:cs="SDCC Sans"/>
          <w:color w:val="363A92"/>
          <w:spacing w:val="0"/>
          <w:lang w:val="en-IE"/>
        </w:rPr>
        <w:t>Assessable Income</w:t>
      </w:r>
    </w:p>
    <w:p w14:paraId="613532EB" w14:textId="77777777" w:rsidR="0072266C" w:rsidRPr="002D336B" w:rsidRDefault="0072266C" w:rsidP="0072266C">
      <w:pPr>
        <w:pStyle w:val="BodyTextIndent"/>
        <w:rPr>
          <w:rFonts w:ascii="SDCC Sans" w:eastAsia="SDCC Sans" w:hAnsi="SDCC Sans" w:cs="SDCC Sans"/>
          <w:color w:val="363A92"/>
          <w:spacing w:val="0"/>
          <w:lang w:val="en-IE"/>
        </w:rPr>
      </w:pPr>
    </w:p>
    <w:p w14:paraId="50EF58E2"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Income from the following sources is assessed in full for differential rent purposes:</w:t>
      </w:r>
    </w:p>
    <w:p w14:paraId="0931A514" w14:textId="77777777" w:rsidR="0072266C" w:rsidRPr="002D336B" w:rsidRDefault="0072266C" w:rsidP="0072266C">
      <w:pPr>
        <w:pStyle w:val="BodyTextIndent"/>
        <w:numPr>
          <w:ilvl w:val="0"/>
          <w:numId w:val="3"/>
        </w:numPr>
        <w:spacing w:before="240"/>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Income from employment, including self-employment and part-time employment.</w:t>
      </w:r>
    </w:p>
    <w:p w14:paraId="5096B4F9" w14:textId="77777777" w:rsidR="0072266C" w:rsidRPr="002D336B" w:rsidRDefault="0072266C" w:rsidP="0072266C">
      <w:pPr>
        <w:pStyle w:val="BodyTextIndent"/>
        <w:numPr>
          <w:ilvl w:val="0"/>
          <w:numId w:val="3"/>
        </w:numPr>
        <w:spacing w:before="240"/>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All social insurance and social welfare payments, allowances and pensions.</w:t>
      </w:r>
    </w:p>
    <w:p w14:paraId="40A9A3F3" w14:textId="77777777" w:rsidR="0072266C" w:rsidRPr="002D336B" w:rsidRDefault="0072266C" w:rsidP="0072266C">
      <w:pPr>
        <w:pStyle w:val="BodyTextIndent"/>
        <w:numPr>
          <w:ilvl w:val="0"/>
          <w:numId w:val="3"/>
        </w:numPr>
        <w:spacing w:before="240"/>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Income from any pensions or other sources not included at (a) or (b).</w:t>
      </w:r>
    </w:p>
    <w:p w14:paraId="470385E8" w14:textId="77777777" w:rsidR="0072266C" w:rsidRPr="002D336B" w:rsidRDefault="0072266C" w:rsidP="0072266C">
      <w:pPr>
        <w:pStyle w:val="BodyTextIndent"/>
        <w:numPr>
          <w:ilvl w:val="0"/>
          <w:numId w:val="3"/>
        </w:numPr>
        <w:spacing w:before="240"/>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Income received from the ‘Room for a Student – Local Authority Tenancies’ Scheme’.</w:t>
      </w:r>
    </w:p>
    <w:p w14:paraId="6D34ECF2" w14:textId="77777777" w:rsidR="0072266C" w:rsidRPr="002D336B" w:rsidRDefault="0072266C" w:rsidP="0072266C">
      <w:pPr>
        <w:pStyle w:val="BodyTextIndent"/>
        <w:numPr>
          <w:ilvl w:val="0"/>
          <w:numId w:val="3"/>
        </w:numPr>
        <w:spacing w:before="240"/>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Working Family Payment.</w:t>
      </w:r>
    </w:p>
    <w:p w14:paraId="2272EDB0"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2E153076" w14:textId="77777777" w:rsidR="0072266C" w:rsidRPr="002D336B" w:rsidRDefault="0072266C" w:rsidP="0072266C">
      <w:pPr>
        <w:pStyle w:val="BodyTextIndent"/>
        <w:numPr>
          <w:ilvl w:val="1"/>
          <w:numId w:val="7"/>
        </w:numPr>
        <w:spacing w:before="240"/>
        <w:ind w:left="1446"/>
        <w:rPr>
          <w:rFonts w:ascii="SDCC Sans" w:eastAsia="SDCC Sans" w:hAnsi="SDCC Sans" w:cs="SDCC Sans"/>
          <w:color w:val="363A92"/>
          <w:spacing w:val="0"/>
          <w:lang w:val="en-IE"/>
        </w:rPr>
      </w:pPr>
      <w:r w:rsidRPr="002D336B">
        <w:rPr>
          <w:rFonts w:ascii="SDCC Sans" w:eastAsia="SDCC Sans" w:hAnsi="SDCC Sans" w:cs="SDCC Sans"/>
          <w:color w:val="363A92"/>
          <w:spacing w:val="0"/>
          <w:lang w:val="en-IE"/>
        </w:rPr>
        <w:t>Income of employed person(s)</w:t>
      </w:r>
    </w:p>
    <w:p w14:paraId="7DF0E931" w14:textId="77777777" w:rsidR="0072266C" w:rsidRPr="002D336B" w:rsidRDefault="0072266C" w:rsidP="0072266C">
      <w:pPr>
        <w:pStyle w:val="BodyTextIndent"/>
        <w:rPr>
          <w:rFonts w:ascii="SDCC Sans" w:eastAsia="SDCC Sans" w:hAnsi="SDCC Sans" w:cs="SDCC Sans"/>
          <w:color w:val="363A92"/>
          <w:spacing w:val="0"/>
          <w:lang w:val="en-IE"/>
        </w:rPr>
      </w:pPr>
    </w:p>
    <w:p w14:paraId="1E2F0433" w14:textId="77777777" w:rsidR="0072266C" w:rsidRPr="002D336B" w:rsidRDefault="0072266C" w:rsidP="0072266C">
      <w:pPr>
        <w:pStyle w:val="BodyTextIndent"/>
        <w:ind w:left="108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 xml:space="preserve">Under this Scheme, the assessable income of any employed person(s) in the household will be the net average weekly wage after any employee statutory deductions, such as Pay </w:t>
      </w:r>
      <w:proofErr w:type="gramStart"/>
      <w:r w:rsidRPr="002D336B">
        <w:rPr>
          <w:rFonts w:ascii="SDCC Sans" w:eastAsia="SDCC Sans" w:hAnsi="SDCC Sans" w:cs="SDCC Sans"/>
          <w:b w:val="0"/>
          <w:bCs/>
          <w:color w:val="363A92"/>
          <w:spacing w:val="0"/>
          <w:lang w:val="en-IE"/>
        </w:rPr>
        <w:t>As</w:t>
      </w:r>
      <w:proofErr w:type="gramEnd"/>
      <w:r w:rsidRPr="002D336B">
        <w:rPr>
          <w:rFonts w:ascii="SDCC Sans" w:eastAsia="SDCC Sans" w:hAnsi="SDCC Sans" w:cs="SDCC Sans"/>
          <w:b w:val="0"/>
          <w:bCs/>
          <w:color w:val="363A92"/>
          <w:spacing w:val="0"/>
          <w:lang w:val="en-IE"/>
        </w:rPr>
        <w:t xml:space="preserve"> You Earn (PAYE tax), Pay Related Social Insurance (PRSI) and Universal Social Charge (USC), as applicable.</w:t>
      </w:r>
    </w:p>
    <w:p w14:paraId="0CC0D4B3"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5CAC8508" w14:textId="77777777" w:rsidR="0072266C" w:rsidRPr="002D336B" w:rsidRDefault="0072266C" w:rsidP="0072266C">
      <w:pPr>
        <w:pStyle w:val="BodyTextIndent"/>
        <w:ind w:left="108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Net overtime payments, shift allowances, bonuses, commission, etc., are included for calculation of differential rent.</w:t>
      </w:r>
    </w:p>
    <w:p w14:paraId="617871F9"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79ADDF13"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1E53D643" w14:textId="77777777" w:rsidR="0072266C" w:rsidRPr="002D336B" w:rsidRDefault="0072266C" w:rsidP="0072266C">
      <w:pPr>
        <w:pStyle w:val="BodyTextIndent"/>
        <w:numPr>
          <w:ilvl w:val="1"/>
          <w:numId w:val="7"/>
        </w:numPr>
        <w:rPr>
          <w:rFonts w:ascii="SDCC Sans" w:eastAsia="SDCC Sans" w:hAnsi="SDCC Sans" w:cs="SDCC Sans"/>
          <w:color w:val="363A92"/>
          <w:spacing w:val="0"/>
          <w:lang w:val="en-IE"/>
        </w:rPr>
      </w:pPr>
      <w:r w:rsidRPr="002D336B">
        <w:rPr>
          <w:rFonts w:ascii="SDCC Sans" w:eastAsia="SDCC Sans" w:hAnsi="SDCC Sans" w:cs="SDCC Sans"/>
          <w:color w:val="363A92"/>
          <w:spacing w:val="0"/>
          <w:lang w:val="en-IE"/>
        </w:rPr>
        <w:t>Income of a self-employed person</w:t>
      </w:r>
    </w:p>
    <w:p w14:paraId="114F93A5" w14:textId="77777777" w:rsidR="0072266C" w:rsidRPr="002D336B" w:rsidRDefault="0072266C" w:rsidP="0072266C">
      <w:pPr>
        <w:pStyle w:val="BodyTextIndent"/>
        <w:rPr>
          <w:rFonts w:ascii="SDCC Sans" w:eastAsia="SDCC Sans" w:hAnsi="SDCC Sans" w:cs="SDCC Sans"/>
          <w:color w:val="363A92"/>
          <w:spacing w:val="0"/>
          <w:lang w:val="en-IE"/>
        </w:rPr>
      </w:pPr>
    </w:p>
    <w:p w14:paraId="34DFE979" w14:textId="77777777" w:rsidR="0072266C" w:rsidRPr="002D336B" w:rsidRDefault="0072266C" w:rsidP="0072266C">
      <w:pPr>
        <w:pStyle w:val="BodyTextIndent"/>
        <w:ind w:left="108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Under this Scheme, the assessable income of any self-employed person(s) in the household will be determined based on the submission of satisfactory documentary evidence of income. (Notice of Tax Assessment or Certified Accounts).</w:t>
      </w:r>
    </w:p>
    <w:p w14:paraId="0D0C9A35"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37848F2A" w14:textId="77777777" w:rsidR="0072266C" w:rsidRPr="002D336B" w:rsidRDefault="0072266C" w:rsidP="0072266C">
      <w:pPr>
        <w:pStyle w:val="BodyTextIndent"/>
        <w:ind w:left="108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Where satisfactory evidence of all household income is not provided by the tenant(s), an initial assumed net income of €750 per week will be applied.</w:t>
      </w:r>
    </w:p>
    <w:p w14:paraId="737502AA" w14:textId="77777777" w:rsidR="0072266C" w:rsidRPr="002D336B" w:rsidRDefault="0072266C" w:rsidP="0072266C">
      <w:pPr>
        <w:pStyle w:val="BodyTextIndent"/>
        <w:ind w:left="1083"/>
        <w:rPr>
          <w:rFonts w:ascii="SDCC Sans" w:eastAsia="SDCC Sans" w:hAnsi="SDCC Sans" w:cs="SDCC Sans"/>
          <w:b w:val="0"/>
          <w:bCs/>
          <w:color w:val="363A92"/>
          <w:spacing w:val="0"/>
          <w:lang w:val="en-IE"/>
        </w:rPr>
      </w:pPr>
    </w:p>
    <w:p w14:paraId="6AF42DBD" w14:textId="77777777" w:rsidR="0072266C" w:rsidRDefault="0072266C" w:rsidP="0072266C">
      <w:pPr>
        <w:pStyle w:val="BodyTextIndent"/>
        <w:ind w:left="108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If notice of tax assessment or certified accounts are not submitted within two months from date of assessment, assumed net income will be incrementally increased thereafter by €250 each month, subject to a maximum assumed net income of €2,000 per week.</w:t>
      </w:r>
    </w:p>
    <w:p w14:paraId="3D0EFB0B" w14:textId="77777777" w:rsidR="002D336B" w:rsidRPr="002D336B" w:rsidRDefault="002D336B" w:rsidP="0072266C">
      <w:pPr>
        <w:pStyle w:val="BodyTextIndent"/>
        <w:ind w:left="1083"/>
        <w:rPr>
          <w:rFonts w:ascii="SDCC Sans" w:eastAsia="SDCC Sans" w:hAnsi="SDCC Sans" w:cs="SDCC Sans"/>
          <w:b w:val="0"/>
          <w:bCs/>
          <w:color w:val="363A92"/>
          <w:spacing w:val="0"/>
          <w:lang w:val="en-IE"/>
        </w:rPr>
      </w:pPr>
    </w:p>
    <w:p w14:paraId="348BA0C6"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6BA3A22B" w14:textId="77777777" w:rsidR="0072266C" w:rsidRPr="002D336B" w:rsidRDefault="0072266C" w:rsidP="0072266C">
      <w:pPr>
        <w:pStyle w:val="BodyTextIndent"/>
        <w:numPr>
          <w:ilvl w:val="0"/>
          <w:numId w:val="2"/>
        </w:numPr>
        <w:rPr>
          <w:rFonts w:ascii="SDCC Sans" w:eastAsia="SDCC Sans" w:hAnsi="SDCC Sans" w:cs="SDCC Sans"/>
          <w:color w:val="363A92"/>
          <w:spacing w:val="0"/>
          <w:lang w:val="en-IE"/>
        </w:rPr>
      </w:pPr>
      <w:r w:rsidRPr="002D336B">
        <w:rPr>
          <w:rFonts w:ascii="SDCC Sans" w:eastAsia="SDCC Sans" w:hAnsi="SDCC Sans" w:cs="SDCC Sans"/>
          <w:color w:val="363A92"/>
          <w:spacing w:val="0"/>
          <w:lang w:val="en-IE"/>
        </w:rPr>
        <w:lastRenderedPageBreak/>
        <w:t>Income excluded from rent assessment</w:t>
      </w:r>
    </w:p>
    <w:p w14:paraId="7F914E71" w14:textId="77777777" w:rsidR="0072266C" w:rsidRPr="002D336B" w:rsidRDefault="0072266C" w:rsidP="0072266C">
      <w:pPr>
        <w:pStyle w:val="BodyTextIndent"/>
        <w:rPr>
          <w:rFonts w:ascii="SDCC Sans" w:eastAsia="SDCC Sans" w:hAnsi="SDCC Sans" w:cs="SDCC Sans"/>
          <w:color w:val="363A92"/>
          <w:spacing w:val="0"/>
          <w:lang w:val="en-IE"/>
        </w:rPr>
      </w:pPr>
    </w:p>
    <w:p w14:paraId="047B4AF4"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Income from the following sources is disregarded for rent purposes:</w:t>
      </w:r>
    </w:p>
    <w:p w14:paraId="08F71689" w14:textId="77777777" w:rsidR="0072266C" w:rsidRPr="002D336B" w:rsidRDefault="0072266C" w:rsidP="0072266C">
      <w:pPr>
        <w:pStyle w:val="BodyTextIndent"/>
        <w:numPr>
          <w:ilvl w:val="0"/>
          <w:numId w:val="4"/>
        </w:numPr>
        <w:spacing w:before="240"/>
        <w:ind w:left="144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Child Benefit, Orphans’ Allowances.</w:t>
      </w:r>
    </w:p>
    <w:p w14:paraId="0A283979" w14:textId="77777777" w:rsidR="0072266C" w:rsidRPr="002D336B" w:rsidRDefault="0072266C" w:rsidP="0072266C">
      <w:pPr>
        <w:pStyle w:val="BodyTextIndent"/>
        <w:numPr>
          <w:ilvl w:val="0"/>
          <w:numId w:val="4"/>
        </w:numPr>
        <w:spacing w:before="240"/>
        <w:ind w:left="144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Scholarships, Higher Education Grants.</w:t>
      </w:r>
    </w:p>
    <w:p w14:paraId="4431972C" w14:textId="77777777" w:rsidR="0072266C" w:rsidRPr="002D336B" w:rsidRDefault="0072266C" w:rsidP="0072266C">
      <w:pPr>
        <w:pStyle w:val="BodyTextIndent"/>
        <w:numPr>
          <w:ilvl w:val="0"/>
          <w:numId w:val="4"/>
        </w:numPr>
        <w:spacing w:before="240"/>
        <w:ind w:left="144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Allowances payable for fostering children.</w:t>
      </w:r>
    </w:p>
    <w:p w14:paraId="3D814003" w14:textId="77777777" w:rsidR="0072266C" w:rsidRPr="002D336B" w:rsidRDefault="0072266C" w:rsidP="0072266C">
      <w:pPr>
        <w:pStyle w:val="BodyTextIndent"/>
        <w:numPr>
          <w:ilvl w:val="0"/>
          <w:numId w:val="4"/>
        </w:numPr>
        <w:spacing w:before="240"/>
        <w:ind w:left="144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Allowances for domiciliary care of disabled children.</w:t>
      </w:r>
    </w:p>
    <w:p w14:paraId="22818271" w14:textId="77777777" w:rsidR="0072266C" w:rsidRPr="002D336B" w:rsidRDefault="0072266C" w:rsidP="0072266C">
      <w:pPr>
        <w:pStyle w:val="BodyTextIndent"/>
        <w:numPr>
          <w:ilvl w:val="0"/>
          <w:numId w:val="4"/>
        </w:numPr>
        <w:spacing w:before="240"/>
        <w:ind w:left="144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 xml:space="preserve">Any income accruing to a member of a household </w:t>
      </w:r>
      <w:proofErr w:type="gramStart"/>
      <w:r w:rsidRPr="002D336B">
        <w:rPr>
          <w:rFonts w:ascii="SDCC Sans" w:eastAsia="SDCC Sans" w:hAnsi="SDCC Sans" w:cs="SDCC Sans"/>
          <w:b w:val="0"/>
          <w:bCs/>
          <w:color w:val="363A92"/>
          <w:spacing w:val="0"/>
          <w:lang w:val="en-IE"/>
        </w:rPr>
        <w:t>as a result of</w:t>
      </w:r>
      <w:proofErr w:type="gramEnd"/>
      <w:r w:rsidRPr="002D336B">
        <w:rPr>
          <w:rFonts w:ascii="SDCC Sans" w:eastAsia="SDCC Sans" w:hAnsi="SDCC Sans" w:cs="SDCC Sans"/>
          <w:b w:val="0"/>
          <w:bCs/>
          <w:color w:val="363A92"/>
          <w:spacing w:val="0"/>
          <w:lang w:val="en-IE"/>
        </w:rPr>
        <w:t xml:space="preserve"> the payment of a Carer's Allowance.</w:t>
      </w:r>
    </w:p>
    <w:p w14:paraId="5D75EA3D" w14:textId="77777777" w:rsidR="0072266C" w:rsidRPr="002D336B" w:rsidRDefault="0072266C" w:rsidP="0072266C">
      <w:pPr>
        <w:pStyle w:val="BodyTextIndent"/>
        <w:numPr>
          <w:ilvl w:val="0"/>
          <w:numId w:val="4"/>
        </w:numPr>
        <w:spacing w:before="240"/>
        <w:ind w:left="144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Allowances or assistance received from any charitable organisation.</w:t>
      </w:r>
    </w:p>
    <w:p w14:paraId="0FA8010D" w14:textId="77777777" w:rsidR="0072266C" w:rsidRPr="002D336B" w:rsidRDefault="0072266C" w:rsidP="0072266C">
      <w:pPr>
        <w:pStyle w:val="BodyTextIndent"/>
        <w:numPr>
          <w:ilvl w:val="0"/>
          <w:numId w:val="4"/>
        </w:numPr>
        <w:spacing w:before="240"/>
        <w:ind w:left="144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Extra allowance for people aged 80 or over payable under certain categories of Social Welfare income.</w:t>
      </w:r>
    </w:p>
    <w:p w14:paraId="3B3D0FDD" w14:textId="77777777" w:rsidR="0072266C" w:rsidRPr="002D336B" w:rsidRDefault="0072266C" w:rsidP="0072266C">
      <w:pPr>
        <w:pStyle w:val="BodyTextIndent"/>
        <w:numPr>
          <w:ilvl w:val="0"/>
          <w:numId w:val="4"/>
        </w:numPr>
        <w:spacing w:before="240"/>
        <w:ind w:left="144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Fuel allowance/ Living alone allowance.</w:t>
      </w:r>
    </w:p>
    <w:p w14:paraId="30965758" w14:textId="77777777" w:rsidR="0072266C" w:rsidRPr="002D336B" w:rsidRDefault="0072266C" w:rsidP="0072266C">
      <w:pPr>
        <w:pStyle w:val="BodyTextIndent"/>
        <w:numPr>
          <w:ilvl w:val="0"/>
          <w:numId w:val="4"/>
        </w:numPr>
        <w:spacing w:before="240"/>
        <w:ind w:left="144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Court approved maintenance payments to another person.</w:t>
      </w:r>
    </w:p>
    <w:p w14:paraId="12A19E71" w14:textId="77777777" w:rsidR="0072266C" w:rsidRPr="002D336B" w:rsidRDefault="0072266C" w:rsidP="0072266C">
      <w:pPr>
        <w:pStyle w:val="BodyTextIndent"/>
        <w:numPr>
          <w:ilvl w:val="0"/>
          <w:numId w:val="4"/>
        </w:numPr>
        <w:spacing w:before="240"/>
        <w:ind w:left="144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Child Maintenance.</w:t>
      </w:r>
    </w:p>
    <w:p w14:paraId="5D4815DD" w14:textId="77777777" w:rsidR="0072266C" w:rsidRPr="002D336B" w:rsidRDefault="0072266C" w:rsidP="0072266C">
      <w:pPr>
        <w:pStyle w:val="BodyTextIndent"/>
        <w:numPr>
          <w:ilvl w:val="0"/>
          <w:numId w:val="4"/>
        </w:numPr>
        <w:spacing w:before="240"/>
        <w:ind w:left="144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Income earned by children under 18 years old.</w:t>
      </w:r>
    </w:p>
    <w:p w14:paraId="317B9DB2" w14:textId="77777777" w:rsidR="0072266C" w:rsidRPr="002D336B" w:rsidRDefault="0072266C" w:rsidP="0072266C">
      <w:pPr>
        <w:pStyle w:val="BodyTextIndent"/>
        <w:numPr>
          <w:ilvl w:val="0"/>
          <w:numId w:val="4"/>
        </w:numPr>
        <w:spacing w:before="240"/>
        <w:ind w:left="144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Youthreach Training Allowance</w:t>
      </w:r>
    </w:p>
    <w:p w14:paraId="6E5D8A68" w14:textId="77777777" w:rsidR="0072266C" w:rsidRPr="002D336B" w:rsidRDefault="0072266C" w:rsidP="0072266C">
      <w:pPr>
        <w:pStyle w:val="BodyTextIndent"/>
        <w:numPr>
          <w:ilvl w:val="0"/>
          <w:numId w:val="4"/>
        </w:numPr>
        <w:spacing w:before="240"/>
        <w:ind w:left="144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 xml:space="preserve">Income for Community Employment schemes (e.g. Community Employment Programme, Community Services Programme, the Work Placement Experience Programme, the Rural Social Scheme (RSS) and </w:t>
      </w:r>
      <w:proofErr w:type="spellStart"/>
      <w:r w:rsidRPr="002D336B">
        <w:rPr>
          <w:rFonts w:ascii="SDCC Sans" w:eastAsia="SDCC Sans" w:hAnsi="SDCC Sans" w:cs="SDCC Sans"/>
          <w:b w:val="0"/>
          <w:bCs/>
          <w:color w:val="363A92"/>
          <w:spacing w:val="0"/>
          <w:lang w:val="en-IE"/>
        </w:rPr>
        <w:t>Tús</w:t>
      </w:r>
      <w:proofErr w:type="spellEnd"/>
      <w:r w:rsidRPr="002D336B">
        <w:rPr>
          <w:rFonts w:ascii="SDCC Sans" w:eastAsia="SDCC Sans" w:hAnsi="SDCC Sans" w:cs="SDCC Sans"/>
          <w:b w:val="0"/>
          <w:bCs/>
          <w:color w:val="363A92"/>
          <w:spacing w:val="0"/>
          <w:lang w:val="en-IE"/>
        </w:rPr>
        <w:t xml:space="preserve">, </w:t>
      </w:r>
      <w:proofErr w:type="gramStart"/>
      <w:r w:rsidRPr="002D336B">
        <w:rPr>
          <w:rFonts w:ascii="SDCC Sans" w:eastAsia="SDCC Sans" w:hAnsi="SDCC Sans" w:cs="SDCC Sans"/>
          <w:b w:val="0"/>
          <w:bCs/>
          <w:color w:val="363A92"/>
          <w:spacing w:val="0"/>
          <w:lang w:val="en-IE"/>
        </w:rPr>
        <w:t>in excess of</w:t>
      </w:r>
      <w:proofErr w:type="gramEnd"/>
      <w:r w:rsidRPr="002D336B">
        <w:rPr>
          <w:rFonts w:ascii="SDCC Sans" w:eastAsia="SDCC Sans" w:hAnsi="SDCC Sans" w:cs="SDCC Sans"/>
          <w:b w:val="0"/>
          <w:bCs/>
          <w:color w:val="363A92"/>
          <w:spacing w:val="0"/>
          <w:lang w:val="en-IE"/>
        </w:rPr>
        <w:t xml:space="preserve"> the Supplementary Welfare rate).</w:t>
      </w:r>
    </w:p>
    <w:p w14:paraId="1593A255" w14:textId="77777777" w:rsidR="0072266C" w:rsidRDefault="0072266C" w:rsidP="0072266C">
      <w:pPr>
        <w:pStyle w:val="BodyTextIndent"/>
        <w:numPr>
          <w:ilvl w:val="0"/>
          <w:numId w:val="4"/>
        </w:numPr>
        <w:spacing w:before="240"/>
        <w:ind w:left="144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Disablement Benefit/Pension.</w:t>
      </w:r>
    </w:p>
    <w:p w14:paraId="5829DE45" w14:textId="77777777" w:rsidR="002D336B" w:rsidRPr="002D336B" w:rsidRDefault="002D336B" w:rsidP="002D336B">
      <w:pPr>
        <w:pStyle w:val="BodyTextIndent"/>
        <w:spacing w:before="240"/>
        <w:ind w:left="1443"/>
        <w:rPr>
          <w:rFonts w:ascii="SDCC Sans" w:eastAsia="SDCC Sans" w:hAnsi="SDCC Sans" w:cs="SDCC Sans"/>
          <w:b w:val="0"/>
          <w:bCs/>
          <w:color w:val="363A92"/>
          <w:spacing w:val="0"/>
          <w:lang w:val="en-IE"/>
        </w:rPr>
      </w:pPr>
    </w:p>
    <w:p w14:paraId="09314314" w14:textId="77777777" w:rsidR="0072266C" w:rsidRPr="002D336B" w:rsidRDefault="0072266C" w:rsidP="0072266C">
      <w:pPr>
        <w:pStyle w:val="BodyTextIndent"/>
        <w:numPr>
          <w:ilvl w:val="0"/>
          <w:numId w:val="2"/>
        </w:numPr>
        <w:rPr>
          <w:rFonts w:ascii="SDCC Sans" w:eastAsia="SDCC Sans" w:hAnsi="SDCC Sans" w:cs="SDCC Sans"/>
          <w:color w:val="363A92"/>
          <w:spacing w:val="0"/>
          <w:lang w:val="en-IE"/>
        </w:rPr>
      </w:pPr>
      <w:r w:rsidRPr="002D336B">
        <w:rPr>
          <w:rFonts w:ascii="SDCC Sans" w:eastAsia="SDCC Sans" w:hAnsi="SDCC Sans" w:cs="SDCC Sans"/>
          <w:color w:val="363A92"/>
          <w:spacing w:val="0"/>
          <w:lang w:val="en-IE"/>
        </w:rPr>
        <w:t>New Tenancy</w:t>
      </w:r>
    </w:p>
    <w:p w14:paraId="41E6FCB4" w14:textId="77777777" w:rsidR="0072266C" w:rsidRPr="002D336B" w:rsidRDefault="0072266C" w:rsidP="0072266C">
      <w:pPr>
        <w:pStyle w:val="BodyTextIndent"/>
        <w:rPr>
          <w:rFonts w:ascii="SDCC Sans" w:eastAsia="SDCC Sans" w:hAnsi="SDCC Sans" w:cs="SDCC Sans"/>
          <w:color w:val="363A92"/>
          <w:spacing w:val="0"/>
          <w:lang w:val="en-IE"/>
        </w:rPr>
      </w:pPr>
    </w:p>
    <w:p w14:paraId="55796632"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In determining rent in the case of a new or transferred tenancy, “Assessable Income” as defined under Section 5 above, will be calculated in accordance with the terms of this Scheme at the date of letting.</w:t>
      </w:r>
    </w:p>
    <w:p w14:paraId="2D528014"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51085907"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Tenants must pay the first week’s rent when signing the tenancy agreement. This payment covers the initial weekly rent charge that will be applied to their rent account when it is set up.</w:t>
      </w:r>
    </w:p>
    <w:p w14:paraId="484C529C"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330A082F" w14:textId="77777777" w:rsidR="0072266C" w:rsidRPr="002D336B" w:rsidRDefault="0072266C" w:rsidP="0072266C">
      <w:pPr>
        <w:pStyle w:val="BodyTextIndent"/>
        <w:numPr>
          <w:ilvl w:val="0"/>
          <w:numId w:val="2"/>
        </w:numPr>
        <w:rPr>
          <w:rFonts w:ascii="SDCC Sans" w:eastAsia="SDCC Sans" w:hAnsi="SDCC Sans" w:cs="SDCC Sans"/>
          <w:color w:val="363A92"/>
          <w:spacing w:val="0"/>
          <w:lang w:val="en-IE"/>
        </w:rPr>
      </w:pPr>
      <w:r w:rsidRPr="002D336B">
        <w:rPr>
          <w:rFonts w:ascii="SDCC Sans" w:eastAsia="SDCC Sans" w:hAnsi="SDCC Sans" w:cs="SDCC Sans"/>
          <w:color w:val="363A92"/>
          <w:spacing w:val="0"/>
          <w:lang w:val="en-IE"/>
        </w:rPr>
        <w:t>Rent Review</w:t>
      </w:r>
    </w:p>
    <w:p w14:paraId="22E8C0ED" w14:textId="77777777" w:rsidR="0072266C" w:rsidRPr="002D336B" w:rsidRDefault="0072266C" w:rsidP="0072266C">
      <w:pPr>
        <w:pStyle w:val="BodyTextIndent"/>
        <w:rPr>
          <w:rFonts w:ascii="SDCC Sans" w:eastAsia="SDCC Sans" w:hAnsi="SDCC Sans" w:cs="SDCC Sans"/>
          <w:color w:val="363A92"/>
          <w:spacing w:val="0"/>
          <w:lang w:val="en-IE"/>
        </w:rPr>
      </w:pPr>
    </w:p>
    <w:p w14:paraId="563E135F"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It is the responsibility of the tenant(s) to notify the Council immediately of:</w:t>
      </w:r>
    </w:p>
    <w:p w14:paraId="267A0419"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31FBEBBB" w14:textId="77777777" w:rsidR="0072266C" w:rsidRPr="002D336B" w:rsidRDefault="0072266C" w:rsidP="0072266C">
      <w:pPr>
        <w:pStyle w:val="BodyTextIndent"/>
        <w:numPr>
          <w:ilvl w:val="0"/>
          <w:numId w:val="5"/>
        </w:numPr>
        <w:spacing w:before="240"/>
        <w:ind w:left="144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lastRenderedPageBreak/>
        <w:t>any change to their household,</w:t>
      </w:r>
    </w:p>
    <w:p w14:paraId="288F24B3" w14:textId="77777777" w:rsidR="0072266C" w:rsidRPr="002D336B" w:rsidRDefault="0072266C" w:rsidP="0072266C">
      <w:pPr>
        <w:pStyle w:val="BodyTextIndent"/>
        <w:numPr>
          <w:ilvl w:val="0"/>
          <w:numId w:val="5"/>
        </w:numPr>
        <w:spacing w:before="240"/>
        <w:ind w:left="1443"/>
        <w:rPr>
          <w:rFonts w:ascii="SDCC Sans" w:eastAsia="SDCC Sans" w:hAnsi="SDCC Sans" w:cs="SDCC Sans"/>
          <w:b w:val="0"/>
          <w:bCs/>
          <w:color w:val="363A92"/>
          <w:spacing w:val="0"/>
          <w:lang w:val="en-IE"/>
        </w:rPr>
      </w:pPr>
      <w:r w:rsidRPr="002D336B">
        <w:rPr>
          <w:rFonts w:ascii="Cambria" w:eastAsia="SDCC Sans" w:hAnsi="Cambria" w:cs="Cambria"/>
          <w:b w:val="0"/>
          <w:bCs/>
          <w:color w:val="363A92"/>
          <w:spacing w:val="0"/>
          <w:lang w:val="en-IE"/>
        </w:rPr>
        <w:t> </w:t>
      </w:r>
      <w:r w:rsidRPr="002D336B">
        <w:rPr>
          <w:rFonts w:ascii="SDCC Sans" w:eastAsia="SDCC Sans" w:hAnsi="SDCC Sans" w:cs="SDCC Sans"/>
          <w:b w:val="0"/>
          <w:bCs/>
          <w:color w:val="363A92"/>
          <w:spacing w:val="0"/>
          <w:lang w:val="en-IE"/>
        </w:rPr>
        <w:t>any material change to their financial circumstances, i.e. a change in income which is likely or expected to continue for three months or more.</w:t>
      </w:r>
    </w:p>
    <w:p w14:paraId="167FB09C" w14:textId="77777777" w:rsidR="0072266C" w:rsidRPr="002D336B" w:rsidRDefault="0072266C" w:rsidP="0072266C">
      <w:pPr>
        <w:pStyle w:val="BodyTextIndent"/>
        <w:spacing w:before="240"/>
        <w:rPr>
          <w:rFonts w:ascii="SDCC Sans" w:eastAsia="SDCC Sans" w:hAnsi="SDCC Sans" w:cs="SDCC Sans"/>
          <w:b w:val="0"/>
          <w:bCs/>
          <w:color w:val="363A92"/>
          <w:spacing w:val="0"/>
          <w:lang w:val="en-IE"/>
        </w:rPr>
      </w:pPr>
    </w:p>
    <w:p w14:paraId="3BA71262"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Documentary evidence must be provided to confirm any such changes, and the Council will then review the differential rent account and inform the tenant(s) of the revised weekly differential rent. Rent reviews are generally carried out from the date on which the Council’s Rent Assessment Team receives all required supporting evidence. Any revised differential rent charge will be applied to the tenant’s rent account from the following Saturday.</w:t>
      </w:r>
    </w:p>
    <w:p w14:paraId="13791EE8"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28A373F0"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Any revised rent charge may be appealed by the tenant(s) by submitting a Rent Assessment Form and providing all supporting documentation.</w:t>
      </w:r>
    </w:p>
    <w:p w14:paraId="21A386DF"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1979D3D5"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 xml:space="preserve">Where the Council specifically requests the return of full household income details, it reserves the right, in the event of failure on the part of any tenant(s) to supply that information, to assume a minimum income of €750 for household members over 18 years of age for the purposes of differential rent assessment. </w:t>
      </w:r>
    </w:p>
    <w:p w14:paraId="71C05C68"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7BA5ED4D"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If income details are not submitted within two months from date of assessment, assumed net income will be incrementally increased thereafter by €250 each month, subject to a maximum assumed net income of €2,000 per week.</w:t>
      </w:r>
    </w:p>
    <w:p w14:paraId="278D95FD"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7DBFDDDA"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44AEF752"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The tenant(s) must seek prior written approval from the Council to add an additional person to the rent account by submitting a formal application for inclusion on rent.</w:t>
      </w:r>
    </w:p>
    <w:p w14:paraId="0752D9D6"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107BA071"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Where approval is given, the revised rent will be assessed from the date of approval, or date of recorded occupancy, whichever is the earlier, in accordance with the Differential Rent Scheme.</w:t>
      </w:r>
    </w:p>
    <w:p w14:paraId="71C6BD47"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70584FC4"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If a member of the household leaves a property, it is the responsibility of the tenant(s) to notify the Council in writing and to provide documentary evidence of that person’s new address. Such persons will be removed from the rent assessment from the date approved evidence is received by the Council’s Rent Assessment team.</w:t>
      </w:r>
    </w:p>
    <w:p w14:paraId="06F8FF87"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196F921F"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Where a household’s declared income is less than the standard rate of Jobseekers’ Allowance applicable for their household size, the standard welfare rate for household size may be applied for rent purposes.</w:t>
      </w:r>
    </w:p>
    <w:p w14:paraId="68456BF4"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4A4B4E6D" w14:textId="77777777" w:rsidR="0072266C"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A retrospective increase to weekly rent debit may be applied to rent accounts, where all household income is not declared and/or where required documentation is submitted late.</w:t>
      </w:r>
    </w:p>
    <w:p w14:paraId="2AF9A2FF" w14:textId="77777777" w:rsidR="002D336B" w:rsidRPr="002D336B" w:rsidRDefault="002D336B" w:rsidP="0072266C">
      <w:pPr>
        <w:pStyle w:val="BodyTextIndent"/>
        <w:rPr>
          <w:rFonts w:ascii="SDCC Sans" w:eastAsia="SDCC Sans" w:hAnsi="SDCC Sans" w:cs="SDCC Sans"/>
          <w:b w:val="0"/>
          <w:bCs/>
          <w:color w:val="363A92"/>
          <w:spacing w:val="0"/>
          <w:lang w:val="en-IE"/>
        </w:rPr>
      </w:pPr>
    </w:p>
    <w:p w14:paraId="460C7CD2"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681D5A3B" w14:textId="77777777" w:rsidR="0072266C" w:rsidRPr="002D336B" w:rsidRDefault="0072266C" w:rsidP="0072266C">
      <w:pPr>
        <w:pStyle w:val="BodyTextIndent"/>
        <w:numPr>
          <w:ilvl w:val="0"/>
          <w:numId w:val="2"/>
        </w:numPr>
        <w:rPr>
          <w:rFonts w:ascii="SDCC Sans" w:eastAsia="SDCC Sans" w:hAnsi="SDCC Sans" w:cs="SDCC Sans"/>
          <w:color w:val="363A92"/>
          <w:spacing w:val="0"/>
          <w:lang w:val="en-IE"/>
        </w:rPr>
      </w:pPr>
      <w:r w:rsidRPr="002D336B">
        <w:rPr>
          <w:rFonts w:ascii="SDCC Sans" w:eastAsia="SDCC Sans" w:hAnsi="SDCC Sans" w:cs="SDCC Sans"/>
          <w:color w:val="363A92"/>
          <w:spacing w:val="0"/>
          <w:lang w:val="en-IE"/>
        </w:rPr>
        <w:lastRenderedPageBreak/>
        <w:t>Hardship</w:t>
      </w:r>
    </w:p>
    <w:p w14:paraId="491B7063" w14:textId="77777777" w:rsidR="0072266C" w:rsidRPr="002D336B" w:rsidRDefault="0072266C" w:rsidP="0072266C">
      <w:pPr>
        <w:pStyle w:val="BodyTextIndent"/>
        <w:rPr>
          <w:rFonts w:ascii="SDCC Sans" w:eastAsia="SDCC Sans" w:hAnsi="SDCC Sans" w:cs="SDCC Sans"/>
          <w:color w:val="363A92"/>
          <w:spacing w:val="0"/>
          <w:lang w:val="en-IE"/>
        </w:rPr>
      </w:pPr>
    </w:p>
    <w:p w14:paraId="3CB34F78"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Where a weekly rent debit calculated in accordance with the Scheme may give rise to undue hardship, the Council may at its sole discretion amend the weekly rent due.</w:t>
      </w:r>
    </w:p>
    <w:p w14:paraId="45FC8FB3"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0521AF75" w14:textId="77777777" w:rsidR="0072266C" w:rsidRPr="002D336B" w:rsidRDefault="0072266C" w:rsidP="0072266C">
      <w:pPr>
        <w:pStyle w:val="BodyTextIndent"/>
        <w:numPr>
          <w:ilvl w:val="0"/>
          <w:numId w:val="2"/>
        </w:numPr>
        <w:rPr>
          <w:rFonts w:ascii="SDCC Sans" w:eastAsia="SDCC Sans" w:hAnsi="SDCC Sans" w:cs="SDCC Sans"/>
          <w:color w:val="363A92"/>
          <w:spacing w:val="0"/>
          <w:lang w:val="en-IE"/>
        </w:rPr>
      </w:pPr>
      <w:r w:rsidRPr="002D336B">
        <w:rPr>
          <w:rFonts w:ascii="SDCC Sans" w:eastAsia="SDCC Sans" w:hAnsi="SDCC Sans" w:cs="SDCC Sans"/>
          <w:color w:val="363A92"/>
          <w:spacing w:val="0"/>
          <w:lang w:val="en-IE"/>
        </w:rPr>
        <w:t>Household Budget</w:t>
      </w:r>
    </w:p>
    <w:p w14:paraId="7854BE6B" w14:textId="77777777" w:rsidR="0072266C" w:rsidRPr="002D336B" w:rsidRDefault="0072266C" w:rsidP="0072266C">
      <w:pPr>
        <w:pStyle w:val="BodyTextIndent"/>
        <w:rPr>
          <w:rFonts w:ascii="SDCC Sans" w:eastAsia="SDCC Sans" w:hAnsi="SDCC Sans" w:cs="SDCC Sans"/>
          <w:color w:val="363A92"/>
          <w:spacing w:val="0"/>
          <w:lang w:val="en-IE"/>
        </w:rPr>
      </w:pPr>
    </w:p>
    <w:p w14:paraId="661A016F"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The tenant(s) must sign a Household Budget or a Standing Order deduction form for a new tenancy.</w:t>
      </w:r>
    </w:p>
    <w:p w14:paraId="0EB5F531"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758C018F" w14:textId="77777777" w:rsidR="0072266C" w:rsidRPr="002D336B" w:rsidRDefault="0072266C" w:rsidP="0072266C">
      <w:pPr>
        <w:pStyle w:val="BodyTextIndent"/>
        <w:numPr>
          <w:ilvl w:val="0"/>
          <w:numId w:val="2"/>
        </w:numPr>
        <w:rPr>
          <w:rFonts w:ascii="SDCC Sans" w:eastAsia="SDCC Sans" w:hAnsi="SDCC Sans" w:cs="SDCC Sans"/>
          <w:color w:val="363A92"/>
          <w:spacing w:val="0"/>
          <w:lang w:val="en-IE"/>
        </w:rPr>
      </w:pPr>
      <w:r w:rsidRPr="002D336B">
        <w:rPr>
          <w:rFonts w:ascii="SDCC Sans" w:eastAsia="SDCC Sans" w:hAnsi="SDCC Sans" w:cs="SDCC Sans"/>
          <w:color w:val="363A92"/>
          <w:spacing w:val="0"/>
          <w:lang w:val="en-IE"/>
        </w:rPr>
        <w:t>Rent Arrears</w:t>
      </w:r>
    </w:p>
    <w:p w14:paraId="1724C3F6" w14:textId="77777777" w:rsidR="0072266C" w:rsidRPr="002D336B" w:rsidRDefault="0072266C" w:rsidP="0072266C">
      <w:pPr>
        <w:pStyle w:val="BodyTextIndent"/>
        <w:rPr>
          <w:rFonts w:ascii="SDCC Sans" w:eastAsia="SDCC Sans" w:hAnsi="SDCC Sans" w:cs="SDCC Sans"/>
          <w:color w:val="363A92"/>
          <w:spacing w:val="0"/>
          <w:lang w:val="en-IE"/>
        </w:rPr>
      </w:pPr>
    </w:p>
    <w:p w14:paraId="787E7554"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Information on managing your arrears is available at:</w:t>
      </w:r>
      <w:r w:rsidRPr="002D336B">
        <w:rPr>
          <w:rFonts w:ascii="Cambria" w:eastAsia="SDCC Sans" w:hAnsi="Cambria" w:cs="Cambria"/>
          <w:b w:val="0"/>
          <w:bCs/>
          <w:color w:val="363A92"/>
          <w:spacing w:val="0"/>
          <w:lang w:val="en-IE"/>
        </w:rPr>
        <w:t> </w:t>
      </w:r>
      <w:r w:rsidRPr="002D336B">
        <w:rPr>
          <w:rFonts w:ascii="Cambria" w:eastAsia="SDCC Sans" w:hAnsi="Cambria" w:cs="Cambria"/>
          <w:color w:val="363A92"/>
          <w:spacing w:val="0"/>
          <w:lang w:val="en-IE"/>
        </w:rPr>
        <w:t>https://www.mycoco.ie/quick-pay/sdcc-rentpayment</w:t>
      </w:r>
      <w:r w:rsidRPr="002D336B">
        <w:rPr>
          <w:rFonts w:ascii="SDCC Sans" w:eastAsia="SDCC Sans" w:hAnsi="SDCC Sans" w:cs="SDCC Sans"/>
          <w:b w:val="0"/>
          <w:bCs/>
          <w:color w:val="363A92"/>
          <w:spacing w:val="0"/>
          <w:lang w:val="en-IE"/>
        </w:rPr>
        <w:t>.</w:t>
      </w:r>
    </w:p>
    <w:p w14:paraId="266803DD"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7F6901EF"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Where a rent account is in arrears, the tenant(s) must contact the Council’s Debt Management Unit immediately to discuss their account. A Debt Management Plan may be put in place that could entail paying additional amounts along with the normal weekly rent due under this Scheme.</w:t>
      </w:r>
    </w:p>
    <w:p w14:paraId="7A7C270E"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2C2B2A88" w14:textId="77777777" w:rsidR="0072266C" w:rsidRPr="002D336B" w:rsidRDefault="0072266C" w:rsidP="0072266C">
      <w:pPr>
        <w:pStyle w:val="BodyTextIndent"/>
        <w:numPr>
          <w:ilvl w:val="0"/>
          <w:numId w:val="2"/>
        </w:numPr>
        <w:rPr>
          <w:rFonts w:ascii="SDCC Sans" w:eastAsia="SDCC Sans" w:hAnsi="SDCC Sans" w:cs="SDCC Sans"/>
          <w:color w:val="363A92"/>
          <w:spacing w:val="0"/>
          <w:lang w:val="en-IE"/>
        </w:rPr>
      </w:pPr>
      <w:r w:rsidRPr="002D336B">
        <w:rPr>
          <w:rFonts w:ascii="SDCC Sans" w:eastAsia="SDCC Sans" w:hAnsi="SDCC Sans" w:cs="SDCC Sans"/>
          <w:color w:val="363A92"/>
          <w:spacing w:val="0"/>
          <w:lang w:val="en-IE"/>
        </w:rPr>
        <w:t>Refunds</w:t>
      </w:r>
    </w:p>
    <w:p w14:paraId="0F0B8065" w14:textId="77777777" w:rsidR="0072266C" w:rsidRPr="002D336B" w:rsidRDefault="0072266C" w:rsidP="0072266C">
      <w:pPr>
        <w:pStyle w:val="BodyTextIndent"/>
        <w:rPr>
          <w:rFonts w:ascii="SDCC Sans" w:eastAsia="SDCC Sans" w:hAnsi="SDCC Sans" w:cs="SDCC Sans"/>
          <w:color w:val="363A92"/>
          <w:spacing w:val="0"/>
          <w:lang w:val="en-IE"/>
        </w:rPr>
      </w:pPr>
    </w:p>
    <w:p w14:paraId="47496620"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Where a rent account is in credit, a refund may be issued to the tenant(s) at the Council’s sole discretion, subject to the satisfactory completion of a 3-year retrospective assessment of all household income.</w:t>
      </w:r>
    </w:p>
    <w:p w14:paraId="65DFC5BF" w14:textId="77777777" w:rsidR="0072266C" w:rsidRPr="002D336B" w:rsidRDefault="0072266C" w:rsidP="0072266C">
      <w:pPr>
        <w:pStyle w:val="BodyTextIndent"/>
        <w:ind w:left="0"/>
        <w:rPr>
          <w:rFonts w:ascii="SDCC Sans" w:eastAsia="SDCC Sans" w:hAnsi="SDCC Sans" w:cs="SDCC Sans"/>
          <w:color w:val="363A92"/>
          <w:spacing w:val="0"/>
          <w:lang w:val="en-IE"/>
        </w:rPr>
      </w:pPr>
    </w:p>
    <w:p w14:paraId="54B20E59" w14:textId="77777777" w:rsidR="0072266C" w:rsidRPr="002D336B" w:rsidRDefault="0072266C" w:rsidP="0072266C">
      <w:pPr>
        <w:pStyle w:val="BodyTextIndent"/>
        <w:numPr>
          <w:ilvl w:val="0"/>
          <w:numId w:val="2"/>
        </w:numPr>
        <w:rPr>
          <w:rFonts w:ascii="SDCC Sans" w:eastAsia="SDCC Sans" w:hAnsi="SDCC Sans" w:cs="SDCC Sans"/>
          <w:color w:val="363A92"/>
          <w:spacing w:val="0"/>
          <w:lang w:val="en-IE"/>
        </w:rPr>
      </w:pPr>
      <w:r w:rsidRPr="002D336B">
        <w:rPr>
          <w:rFonts w:ascii="SDCC Sans" w:eastAsia="SDCC Sans" w:hAnsi="SDCC Sans" w:cs="SDCC Sans"/>
          <w:color w:val="363A92"/>
          <w:spacing w:val="0"/>
          <w:lang w:val="en-IE"/>
        </w:rPr>
        <w:t>Additional Charges</w:t>
      </w:r>
    </w:p>
    <w:p w14:paraId="4DDD3DA1" w14:textId="77777777" w:rsidR="0072266C" w:rsidRPr="002D336B" w:rsidRDefault="0072266C" w:rsidP="0072266C">
      <w:pPr>
        <w:pStyle w:val="BodyTextIndent"/>
        <w:ind w:left="0"/>
        <w:rPr>
          <w:rFonts w:ascii="SDCC Sans" w:eastAsia="SDCC Sans" w:hAnsi="SDCC Sans" w:cs="SDCC Sans"/>
          <w:color w:val="363A92"/>
          <w:spacing w:val="0"/>
          <w:lang w:val="en-IE"/>
        </w:rPr>
      </w:pPr>
    </w:p>
    <w:p w14:paraId="3B922666"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The Council reserves the right to apply additional charges relating to services provided, e.g. amenity charges for property management, waste collection, communal area maintenance, etc. Any such charges will be communicated in advance to the tenant(s) before being applied to the rent account.</w:t>
      </w:r>
    </w:p>
    <w:p w14:paraId="70D7F9E2"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289A4359" w14:textId="77777777" w:rsidR="0072266C" w:rsidRPr="002D336B" w:rsidRDefault="0072266C" w:rsidP="0072266C">
      <w:pPr>
        <w:pStyle w:val="BodyTextIndent"/>
        <w:numPr>
          <w:ilvl w:val="0"/>
          <w:numId w:val="2"/>
        </w:numPr>
        <w:rPr>
          <w:rFonts w:ascii="SDCC Sans" w:eastAsia="SDCC Sans" w:hAnsi="SDCC Sans" w:cs="SDCC Sans"/>
          <w:color w:val="363A92"/>
          <w:spacing w:val="0"/>
          <w:lang w:val="en-IE"/>
        </w:rPr>
      </w:pPr>
      <w:r w:rsidRPr="002D336B">
        <w:rPr>
          <w:rFonts w:ascii="SDCC Sans" w:eastAsia="SDCC Sans" w:hAnsi="SDCC Sans" w:cs="SDCC Sans"/>
          <w:color w:val="363A92"/>
          <w:spacing w:val="0"/>
          <w:lang w:val="en-IE"/>
        </w:rPr>
        <w:t>Termination of Tenancy</w:t>
      </w:r>
    </w:p>
    <w:p w14:paraId="411664B4" w14:textId="77777777" w:rsidR="0072266C" w:rsidRPr="002D336B" w:rsidRDefault="0072266C" w:rsidP="0072266C">
      <w:pPr>
        <w:pStyle w:val="BodyTextIndent"/>
        <w:rPr>
          <w:rFonts w:ascii="SDCC Sans" w:eastAsia="SDCC Sans" w:hAnsi="SDCC Sans" w:cs="SDCC Sans"/>
          <w:color w:val="363A92"/>
          <w:spacing w:val="0"/>
          <w:lang w:val="en-IE"/>
        </w:rPr>
      </w:pPr>
    </w:p>
    <w:p w14:paraId="13223026"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On termination of tenancy for any reason, all rent, rates and any other charges under this Scheme or otherwise are applicable up to the date of the submission of an approved surrender/partial surrender form and to the date of the handover of the property to the Council as agreed.</w:t>
      </w:r>
    </w:p>
    <w:p w14:paraId="219DE4B8"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415C2230" w14:textId="77777777" w:rsidR="0072266C" w:rsidRPr="002D336B" w:rsidRDefault="0072266C" w:rsidP="0072266C">
      <w:pPr>
        <w:pStyle w:val="BodyTextIndent"/>
        <w:numPr>
          <w:ilvl w:val="0"/>
          <w:numId w:val="2"/>
        </w:numPr>
        <w:rPr>
          <w:rFonts w:ascii="SDCC Sans" w:eastAsia="SDCC Sans" w:hAnsi="SDCC Sans" w:cs="SDCC Sans"/>
          <w:color w:val="363A92"/>
          <w:spacing w:val="0"/>
          <w:lang w:val="en-IE"/>
        </w:rPr>
      </w:pPr>
      <w:r w:rsidRPr="002D336B">
        <w:rPr>
          <w:rFonts w:ascii="SDCC Sans" w:eastAsia="SDCC Sans" w:hAnsi="SDCC Sans" w:cs="SDCC Sans"/>
          <w:color w:val="363A92"/>
          <w:spacing w:val="0"/>
          <w:lang w:val="en-IE"/>
        </w:rPr>
        <w:t>Definitions</w:t>
      </w:r>
    </w:p>
    <w:p w14:paraId="06985FE3" w14:textId="77777777" w:rsidR="0072266C" w:rsidRPr="002D336B" w:rsidRDefault="0072266C" w:rsidP="0072266C">
      <w:pPr>
        <w:pStyle w:val="BodyTextIndent"/>
        <w:rPr>
          <w:rFonts w:ascii="SDCC Sans" w:eastAsia="SDCC Sans" w:hAnsi="SDCC Sans" w:cs="SDCC Sans"/>
          <w:color w:val="363A92"/>
          <w:spacing w:val="0"/>
          <w:lang w:val="en-IE"/>
        </w:rPr>
      </w:pPr>
    </w:p>
    <w:p w14:paraId="1EA32FC7" w14:textId="77777777" w:rsidR="0072266C" w:rsidRPr="002D336B" w:rsidRDefault="0072266C" w:rsidP="0072266C">
      <w:pPr>
        <w:pStyle w:val="BodyTextIndent"/>
        <w:numPr>
          <w:ilvl w:val="0"/>
          <w:numId w:val="6"/>
        </w:numPr>
        <w:ind w:left="1443"/>
        <w:rPr>
          <w:rFonts w:ascii="SDCC Sans" w:eastAsia="SDCC Sans" w:hAnsi="SDCC Sans" w:cs="SDCC Sans"/>
          <w:color w:val="363A92"/>
          <w:spacing w:val="0"/>
          <w:lang w:val="en-IE"/>
        </w:rPr>
      </w:pPr>
      <w:r w:rsidRPr="002D336B">
        <w:rPr>
          <w:rFonts w:ascii="SDCC Sans" w:eastAsia="SDCC Sans" w:hAnsi="SDCC Sans" w:cs="SDCC Sans"/>
          <w:color w:val="363A92"/>
          <w:spacing w:val="0"/>
          <w:lang w:val="en-IE"/>
        </w:rPr>
        <w:t>Household</w:t>
      </w:r>
    </w:p>
    <w:p w14:paraId="756CB47D" w14:textId="77777777" w:rsidR="0072266C" w:rsidRPr="002D336B" w:rsidRDefault="0072266C" w:rsidP="0072266C">
      <w:pPr>
        <w:pStyle w:val="BodyTextIndent"/>
        <w:rPr>
          <w:rFonts w:ascii="SDCC Sans" w:eastAsia="SDCC Sans" w:hAnsi="SDCC Sans" w:cs="SDCC Sans"/>
          <w:color w:val="363A92"/>
          <w:spacing w:val="0"/>
          <w:lang w:val="en-IE"/>
        </w:rPr>
      </w:pPr>
    </w:p>
    <w:p w14:paraId="66551F63" w14:textId="77777777" w:rsidR="0072266C" w:rsidRPr="002D336B" w:rsidRDefault="0072266C" w:rsidP="0072266C">
      <w:pPr>
        <w:pStyle w:val="BodyTextIndent"/>
        <w:ind w:left="108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All those who occupy the same dwelling and have permission to reside in that dwelling.</w:t>
      </w:r>
    </w:p>
    <w:p w14:paraId="6AA1FC18" w14:textId="77777777" w:rsidR="0072266C" w:rsidRPr="002D336B" w:rsidRDefault="0072266C" w:rsidP="0072266C">
      <w:pPr>
        <w:pStyle w:val="BodyTextIndent"/>
        <w:rPr>
          <w:rFonts w:ascii="SDCC Sans" w:eastAsia="SDCC Sans" w:hAnsi="SDCC Sans" w:cs="SDCC Sans"/>
          <w:b w:val="0"/>
          <w:bCs/>
          <w:color w:val="363A92"/>
          <w:spacing w:val="0"/>
          <w:lang w:val="en-IE"/>
        </w:rPr>
      </w:pPr>
    </w:p>
    <w:p w14:paraId="63510A78" w14:textId="77777777" w:rsidR="0072266C" w:rsidRPr="002D336B" w:rsidRDefault="0072266C" w:rsidP="0072266C">
      <w:pPr>
        <w:pStyle w:val="BodyTextIndent"/>
        <w:numPr>
          <w:ilvl w:val="0"/>
          <w:numId w:val="6"/>
        </w:numPr>
        <w:ind w:left="1443"/>
        <w:rPr>
          <w:rFonts w:ascii="SDCC Sans" w:eastAsia="SDCC Sans" w:hAnsi="SDCC Sans" w:cs="SDCC Sans"/>
          <w:color w:val="363A92"/>
          <w:spacing w:val="0"/>
          <w:lang w:val="en-IE"/>
        </w:rPr>
      </w:pPr>
      <w:r w:rsidRPr="002D336B">
        <w:rPr>
          <w:rFonts w:ascii="SDCC Sans" w:eastAsia="SDCC Sans" w:hAnsi="SDCC Sans" w:cs="SDCC Sans"/>
          <w:color w:val="363A92"/>
          <w:spacing w:val="0"/>
          <w:lang w:val="en-IE"/>
        </w:rPr>
        <w:lastRenderedPageBreak/>
        <w:t>Principal Earner</w:t>
      </w:r>
    </w:p>
    <w:p w14:paraId="370B910F" w14:textId="77777777" w:rsidR="0072266C" w:rsidRPr="002D336B" w:rsidRDefault="0072266C" w:rsidP="0072266C">
      <w:pPr>
        <w:pStyle w:val="BodyTextIndent"/>
        <w:ind w:left="1083"/>
        <w:rPr>
          <w:rFonts w:ascii="SDCC Sans" w:eastAsia="SDCC Sans" w:hAnsi="SDCC Sans" w:cs="SDCC Sans"/>
          <w:color w:val="363A92"/>
          <w:spacing w:val="0"/>
          <w:lang w:val="en-IE"/>
        </w:rPr>
      </w:pPr>
    </w:p>
    <w:p w14:paraId="51C8C2C4" w14:textId="77777777" w:rsidR="0072266C" w:rsidRPr="002D336B" w:rsidRDefault="0072266C" w:rsidP="0072266C">
      <w:pPr>
        <w:pStyle w:val="BodyTextIndent"/>
        <w:ind w:left="108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The Principal Earner is the household member who is in receipt of the highest assessable income and may not necessarily be the tenant.</w:t>
      </w:r>
    </w:p>
    <w:p w14:paraId="1DE4BCA3" w14:textId="77777777" w:rsidR="0072266C" w:rsidRPr="002D336B" w:rsidRDefault="0072266C" w:rsidP="0072266C">
      <w:pPr>
        <w:pStyle w:val="BodyTextIndent"/>
        <w:ind w:left="1083"/>
        <w:rPr>
          <w:rFonts w:ascii="SDCC Sans" w:eastAsia="SDCC Sans" w:hAnsi="SDCC Sans" w:cs="SDCC Sans"/>
          <w:b w:val="0"/>
          <w:bCs/>
          <w:color w:val="363A92"/>
          <w:spacing w:val="0"/>
          <w:lang w:val="en-IE"/>
        </w:rPr>
      </w:pPr>
    </w:p>
    <w:p w14:paraId="6B256E1D" w14:textId="77777777" w:rsidR="0072266C" w:rsidRPr="002D336B" w:rsidRDefault="0072266C" w:rsidP="0072266C">
      <w:pPr>
        <w:pStyle w:val="BodyTextIndent"/>
        <w:numPr>
          <w:ilvl w:val="0"/>
          <w:numId w:val="6"/>
        </w:numPr>
        <w:ind w:left="1443"/>
        <w:rPr>
          <w:rFonts w:ascii="SDCC Sans" w:eastAsia="SDCC Sans" w:hAnsi="SDCC Sans" w:cs="SDCC Sans"/>
          <w:color w:val="363A92"/>
          <w:spacing w:val="0"/>
          <w:lang w:val="en-IE"/>
        </w:rPr>
      </w:pPr>
      <w:r w:rsidRPr="002D336B">
        <w:rPr>
          <w:rFonts w:ascii="SDCC Sans" w:eastAsia="SDCC Sans" w:hAnsi="SDCC Sans" w:cs="SDCC Sans"/>
          <w:color w:val="363A92"/>
          <w:spacing w:val="0"/>
          <w:lang w:val="en-IE"/>
        </w:rPr>
        <w:t>Subsidiary Earner</w:t>
      </w:r>
    </w:p>
    <w:p w14:paraId="15FE3185" w14:textId="77777777" w:rsidR="0072266C" w:rsidRPr="002D336B" w:rsidRDefault="0072266C" w:rsidP="0072266C">
      <w:pPr>
        <w:pStyle w:val="BodyTextIndent"/>
        <w:ind w:left="1083"/>
        <w:rPr>
          <w:rFonts w:ascii="SDCC Sans" w:eastAsia="SDCC Sans" w:hAnsi="SDCC Sans" w:cs="SDCC Sans"/>
          <w:color w:val="363A92"/>
          <w:spacing w:val="0"/>
          <w:lang w:val="en-IE"/>
        </w:rPr>
      </w:pPr>
    </w:p>
    <w:p w14:paraId="53BE6CD8" w14:textId="77777777" w:rsidR="0072266C" w:rsidRPr="002D336B" w:rsidRDefault="0072266C" w:rsidP="0072266C">
      <w:pPr>
        <w:pStyle w:val="BodyTextIndent"/>
        <w:ind w:left="108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A Subsidiary Earner is a member of the household aged 18 years or over, other than the Principal Earner, who has an income or who is entitled to an income.</w:t>
      </w:r>
    </w:p>
    <w:p w14:paraId="4B6276C8" w14:textId="77777777" w:rsidR="0072266C" w:rsidRPr="002D336B" w:rsidRDefault="0072266C" w:rsidP="0072266C">
      <w:pPr>
        <w:pStyle w:val="BodyTextIndent"/>
        <w:ind w:left="1083"/>
        <w:rPr>
          <w:rFonts w:ascii="SDCC Sans" w:eastAsia="SDCC Sans" w:hAnsi="SDCC Sans" w:cs="SDCC Sans"/>
          <w:b w:val="0"/>
          <w:bCs/>
          <w:color w:val="363A92"/>
          <w:spacing w:val="0"/>
          <w:lang w:val="en-IE"/>
        </w:rPr>
      </w:pPr>
    </w:p>
    <w:p w14:paraId="1B73A81B" w14:textId="77777777" w:rsidR="0072266C" w:rsidRPr="002D336B" w:rsidRDefault="0072266C" w:rsidP="0072266C">
      <w:pPr>
        <w:pStyle w:val="BodyTextIndent"/>
        <w:numPr>
          <w:ilvl w:val="0"/>
          <w:numId w:val="6"/>
        </w:numPr>
        <w:ind w:left="1443"/>
        <w:rPr>
          <w:rFonts w:ascii="SDCC Sans" w:eastAsia="SDCC Sans" w:hAnsi="SDCC Sans" w:cs="SDCC Sans"/>
          <w:color w:val="363A92"/>
          <w:spacing w:val="0"/>
          <w:lang w:val="en-IE"/>
        </w:rPr>
      </w:pPr>
      <w:r w:rsidRPr="002D336B">
        <w:rPr>
          <w:rFonts w:ascii="SDCC Sans" w:eastAsia="SDCC Sans" w:hAnsi="SDCC Sans" w:cs="SDCC Sans"/>
          <w:color w:val="363A92"/>
          <w:spacing w:val="0"/>
          <w:lang w:val="en-IE"/>
        </w:rPr>
        <w:t>Tenancy Agreement</w:t>
      </w:r>
    </w:p>
    <w:p w14:paraId="3F04D84B" w14:textId="77777777" w:rsidR="0072266C" w:rsidRPr="002D336B" w:rsidRDefault="0072266C" w:rsidP="0072266C">
      <w:pPr>
        <w:pStyle w:val="BodyTextIndent"/>
        <w:ind w:left="1083"/>
        <w:rPr>
          <w:rFonts w:ascii="SDCC Sans" w:eastAsia="SDCC Sans" w:hAnsi="SDCC Sans" w:cs="SDCC Sans"/>
          <w:color w:val="363A92"/>
          <w:spacing w:val="0"/>
          <w:lang w:val="en-IE"/>
        </w:rPr>
      </w:pPr>
    </w:p>
    <w:p w14:paraId="37EA8FD6" w14:textId="77777777" w:rsidR="0072266C" w:rsidRPr="002D336B" w:rsidRDefault="0072266C" w:rsidP="0072266C">
      <w:pPr>
        <w:pStyle w:val="BodyTextIndent"/>
        <w:ind w:left="108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A tenancy agreement is a legal document that allows a tenant to occupy a property in exchange for rent paid to the landlord. It records all essential details of the rental arrangement to ensure both parties understand their rights and obligations.</w:t>
      </w:r>
    </w:p>
    <w:p w14:paraId="3C9CCF5F" w14:textId="77777777" w:rsidR="0072266C" w:rsidRPr="002D336B" w:rsidRDefault="0072266C" w:rsidP="0072266C">
      <w:pPr>
        <w:pStyle w:val="BodyTextIndent"/>
        <w:ind w:left="1083"/>
        <w:rPr>
          <w:rFonts w:ascii="SDCC Sans" w:eastAsia="SDCC Sans" w:hAnsi="SDCC Sans" w:cs="SDCC Sans"/>
          <w:b w:val="0"/>
          <w:bCs/>
          <w:color w:val="363A92"/>
          <w:spacing w:val="0"/>
          <w:lang w:val="en-IE"/>
        </w:rPr>
      </w:pPr>
    </w:p>
    <w:p w14:paraId="66CC460D" w14:textId="77777777" w:rsidR="0072266C" w:rsidRPr="002D336B" w:rsidRDefault="0072266C" w:rsidP="0072266C">
      <w:pPr>
        <w:pStyle w:val="BodyTextIndent"/>
        <w:numPr>
          <w:ilvl w:val="0"/>
          <w:numId w:val="6"/>
        </w:numPr>
        <w:ind w:left="1443"/>
        <w:rPr>
          <w:rFonts w:ascii="SDCC Sans" w:eastAsia="SDCC Sans" w:hAnsi="SDCC Sans" w:cs="SDCC Sans"/>
          <w:color w:val="363A92"/>
          <w:spacing w:val="0"/>
          <w:lang w:val="en-IE"/>
        </w:rPr>
      </w:pPr>
      <w:r w:rsidRPr="002D336B">
        <w:rPr>
          <w:rFonts w:ascii="SDCC Sans" w:eastAsia="SDCC Sans" w:hAnsi="SDCC Sans" w:cs="SDCC Sans"/>
          <w:color w:val="363A92"/>
          <w:spacing w:val="0"/>
          <w:lang w:val="en-IE"/>
        </w:rPr>
        <w:t>Tenant(s)</w:t>
      </w:r>
    </w:p>
    <w:p w14:paraId="45A8590F" w14:textId="77777777" w:rsidR="0072266C" w:rsidRPr="002D336B" w:rsidRDefault="0072266C" w:rsidP="0072266C">
      <w:pPr>
        <w:pStyle w:val="BodyTextIndent"/>
        <w:ind w:left="108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Any person who has signed a Tenancy Agreement with the Council.</w:t>
      </w:r>
    </w:p>
    <w:p w14:paraId="666D6359" w14:textId="77777777" w:rsidR="0072266C" w:rsidRPr="002D336B" w:rsidRDefault="0072266C" w:rsidP="0072266C">
      <w:pPr>
        <w:pStyle w:val="BodyTextIndent"/>
        <w:ind w:left="1083"/>
        <w:rPr>
          <w:rFonts w:ascii="SDCC Sans" w:eastAsia="SDCC Sans" w:hAnsi="SDCC Sans" w:cs="SDCC Sans"/>
          <w:b w:val="0"/>
          <w:bCs/>
          <w:color w:val="363A92"/>
          <w:spacing w:val="0"/>
          <w:lang w:val="en-IE"/>
        </w:rPr>
      </w:pPr>
    </w:p>
    <w:p w14:paraId="0D893171" w14:textId="77777777" w:rsidR="0072266C" w:rsidRPr="002D336B" w:rsidRDefault="0072266C" w:rsidP="0072266C">
      <w:pPr>
        <w:pStyle w:val="BodyTextIndent"/>
        <w:numPr>
          <w:ilvl w:val="0"/>
          <w:numId w:val="6"/>
        </w:numPr>
        <w:ind w:left="1443"/>
        <w:rPr>
          <w:rFonts w:ascii="SDCC Sans" w:eastAsia="SDCC Sans" w:hAnsi="SDCC Sans" w:cs="SDCC Sans"/>
          <w:color w:val="363A92"/>
          <w:spacing w:val="0"/>
          <w:lang w:val="en-IE"/>
        </w:rPr>
      </w:pPr>
      <w:r w:rsidRPr="002D336B">
        <w:rPr>
          <w:rFonts w:ascii="SDCC Sans" w:eastAsia="SDCC Sans" w:hAnsi="SDCC Sans" w:cs="SDCC Sans"/>
          <w:color w:val="363A92"/>
          <w:spacing w:val="0"/>
          <w:lang w:val="en-IE"/>
        </w:rPr>
        <w:t>Household Budget</w:t>
      </w:r>
    </w:p>
    <w:p w14:paraId="633A62F0" w14:textId="77777777" w:rsidR="0072266C" w:rsidRPr="002D336B" w:rsidRDefault="0072266C" w:rsidP="0072266C">
      <w:pPr>
        <w:pStyle w:val="BodyTextIndent"/>
        <w:ind w:left="1083"/>
        <w:rPr>
          <w:rFonts w:ascii="SDCC Sans" w:eastAsia="SDCC Sans" w:hAnsi="SDCC Sans" w:cs="SDCC Sans"/>
          <w:color w:val="363A92"/>
          <w:spacing w:val="0"/>
          <w:lang w:val="en-IE"/>
        </w:rPr>
      </w:pPr>
    </w:p>
    <w:p w14:paraId="51F27571" w14:textId="77777777" w:rsidR="0072266C" w:rsidRPr="002D336B" w:rsidRDefault="0072266C" w:rsidP="0072266C">
      <w:pPr>
        <w:pStyle w:val="BodyTextIndent"/>
        <w:ind w:left="1083"/>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 xml:space="preserve">The Household Budget Scheme helps people getting certain social welfare payments to spread the cost of some household bills over the year. Under this scheme, a fixed amount is deducted from your social welfare payment each week. The scheme is operated by </w:t>
      </w:r>
      <w:proofErr w:type="gramStart"/>
      <w:r w:rsidRPr="002D336B">
        <w:rPr>
          <w:rFonts w:ascii="SDCC Sans" w:eastAsia="SDCC Sans" w:hAnsi="SDCC Sans" w:cs="SDCC Sans"/>
          <w:b w:val="0"/>
          <w:bCs/>
          <w:color w:val="363A92"/>
          <w:spacing w:val="0"/>
          <w:lang w:val="en-IE"/>
        </w:rPr>
        <w:t>An</w:t>
      </w:r>
      <w:proofErr w:type="gramEnd"/>
      <w:r w:rsidRPr="002D336B">
        <w:rPr>
          <w:rFonts w:ascii="SDCC Sans" w:eastAsia="SDCC Sans" w:hAnsi="SDCC Sans" w:cs="SDCC Sans"/>
          <w:b w:val="0"/>
          <w:bCs/>
          <w:color w:val="363A92"/>
          <w:spacing w:val="0"/>
          <w:lang w:val="en-IE"/>
        </w:rPr>
        <w:t xml:space="preserve"> Post and to qualify, you must be getting a specified social welfare payment, and your payment must be paid through a post office.</w:t>
      </w:r>
    </w:p>
    <w:p w14:paraId="5D904B3D" w14:textId="77777777" w:rsidR="0072266C" w:rsidRPr="002D336B" w:rsidRDefault="0072266C" w:rsidP="0072266C">
      <w:pPr>
        <w:pStyle w:val="BodyTextIndent"/>
        <w:rPr>
          <w:rFonts w:ascii="Cambria" w:eastAsia="SDCC Sans" w:hAnsi="Cambria" w:cs="Cambria"/>
          <w:b w:val="0"/>
          <w:bCs/>
          <w:color w:val="363A92"/>
          <w:spacing w:val="0"/>
          <w:lang w:val="en-IE"/>
        </w:rPr>
      </w:pPr>
      <w:r w:rsidRPr="002D336B">
        <w:rPr>
          <w:rFonts w:ascii="Cambria" w:eastAsia="SDCC Sans" w:hAnsi="Cambria" w:cs="Cambria"/>
          <w:b w:val="0"/>
          <w:bCs/>
          <w:color w:val="363A92"/>
          <w:spacing w:val="0"/>
          <w:lang w:val="en-IE"/>
        </w:rPr>
        <w:t> </w:t>
      </w:r>
    </w:p>
    <w:p w14:paraId="03A33F2D" w14:textId="77777777" w:rsidR="0072266C" w:rsidRPr="002D336B" w:rsidRDefault="0072266C" w:rsidP="0072266C">
      <w:pPr>
        <w:pStyle w:val="BodyTextIndent"/>
        <w:rPr>
          <w:rFonts w:ascii="SDCC Sans" w:eastAsia="SDCC Sans" w:hAnsi="SDCC Sans" w:cs="SDCC Sans"/>
          <w:b w:val="0"/>
          <w:bCs/>
          <w:color w:val="363A92"/>
          <w:spacing w:val="0"/>
          <w:lang w:val="en-IE"/>
        </w:rPr>
      </w:pPr>
      <w:r w:rsidRPr="002D336B">
        <w:rPr>
          <w:rFonts w:ascii="SDCC Sans" w:eastAsia="SDCC Sans" w:hAnsi="SDCC Sans" w:cs="SDCC Sans"/>
          <w:b w:val="0"/>
          <w:bCs/>
          <w:color w:val="363A92"/>
          <w:spacing w:val="0"/>
          <w:lang w:val="en-IE"/>
        </w:rPr>
        <w:t>*Please note that this list of definitions is not exhaustive.</w:t>
      </w:r>
    </w:p>
    <w:p w14:paraId="784DDCCF" w14:textId="77777777" w:rsidR="0072266C" w:rsidRDefault="0072266C"/>
    <w:sectPr w:rsidR="0072266C" w:rsidSect="002D336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DCC Display">
    <w:panose1 w:val="00000000000000000000"/>
    <w:charset w:val="00"/>
    <w:family w:val="auto"/>
    <w:pitch w:val="variable"/>
    <w:sig w:usb0="00000007" w:usb1="00000000" w:usb2="00000000" w:usb3="00000000" w:csb0="00000093" w:csb1="00000000"/>
  </w:font>
  <w:font w:name="SDCC Sans">
    <w:panose1 w:val="00000000000000000000"/>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56672"/>
    <w:multiLevelType w:val="multilevel"/>
    <w:tmpl w:val="B8CE334A"/>
    <w:lvl w:ilvl="0">
      <w:start w:val="4"/>
      <w:numFmt w:val="decimal"/>
      <w:lvlText w:val="%1"/>
      <w:lvlJc w:val="left"/>
      <w:pPr>
        <w:ind w:left="391" w:hanging="391"/>
      </w:pPr>
      <w:rPr>
        <w:rFonts w:hint="default"/>
      </w:rPr>
    </w:lvl>
    <w:lvl w:ilvl="1">
      <w:start w:val="1"/>
      <w:numFmt w:val="decimal"/>
      <w:lvlRestart w:val="0"/>
      <w:lvlText w:val="%1.%2"/>
      <w:lvlJc w:val="left"/>
      <w:pPr>
        <w:tabs>
          <w:tab w:val="num" w:pos="1440"/>
        </w:tabs>
        <w:ind w:left="1440" w:hanging="363"/>
      </w:pPr>
      <w:rPr>
        <w:rFonts w:hint="default"/>
      </w:rPr>
    </w:lvl>
    <w:lvl w:ilvl="2">
      <w:start w:val="1"/>
      <w:numFmt w:val="decimal"/>
      <w:lvlText w:val="%1.%2.%3"/>
      <w:lvlJc w:val="left"/>
      <w:pPr>
        <w:ind w:left="1831" w:hanging="391"/>
      </w:pPr>
      <w:rPr>
        <w:rFonts w:hint="default"/>
      </w:rPr>
    </w:lvl>
    <w:lvl w:ilvl="3">
      <w:start w:val="1"/>
      <w:numFmt w:val="decimal"/>
      <w:lvlText w:val="%1.%2.%3.%4"/>
      <w:lvlJc w:val="left"/>
      <w:pPr>
        <w:ind w:left="2551" w:hanging="391"/>
      </w:pPr>
      <w:rPr>
        <w:rFonts w:hint="default"/>
      </w:rPr>
    </w:lvl>
    <w:lvl w:ilvl="4">
      <w:start w:val="1"/>
      <w:numFmt w:val="decimal"/>
      <w:lvlText w:val="%1.%2.%3.%4.%5"/>
      <w:lvlJc w:val="left"/>
      <w:pPr>
        <w:ind w:left="3271" w:hanging="391"/>
      </w:pPr>
      <w:rPr>
        <w:rFonts w:hint="default"/>
      </w:rPr>
    </w:lvl>
    <w:lvl w:ilvl="5">
      <w:start w:val="1"/>
      <w:numFmt w:val="decimal"/>
      <w:lvlText w:val="%1.%2.%3.%4.%5.%6"/>
      <w:lvlJc w:val="left"/>
      <w:pPr>
        <w:ind w:left="3991" w:hanging="391"/>
      </w:pPr>
      <w:rPr>
        <w:rFonts w:hint="default"/>
      </w:rPr>
    </w:lvl>
    <w:lvl w:ilvl="6">
      <w:start w:val="1"/>
      <w:numFmt w:val="decimal"/>
      <w:lvlText w:val="%1.%2.%3.%4.%5.%6.%7"/>
      <w:lvlJc w:val="left"/>
      <w:pPr>
        <w:ind w:left="4711" w:hanging="391"/>
      </w:pPr>
      <w:rPr>
        <w:rFonts w:hint="default"/>
      </w:rPr>
    </w:lvl>
    <w:lvl w:ilvl="7">
      <w:start w:val="1"/>
      <w:numFmt w:val="decimal"/>
      <w:lvlText w:val="%1.%2.%3.%4.%5.%6.%7.%8"/>
      <w:lvlJc w:val="left"/>
      <w:pPr>
        <w:ind w:left="5431" w:hanging="391"/>
      </w:pPr>
      <w:rPr>
        <w:rFonts w:hint="default"/>
      </w:rPr>
    </w:lvl>
    <w:lvl w:ilvl="8">
      <w:start w:val="1"/>
      <w:numFmt w:val="decimal"/>
      <w:lvlText w:val="%1.%2.%3.%4.%5.%6.%7.%8.%9"/>
      <w:lvlJc w:val="left"/>
      <w:pPr>
        <w:ind w:left="6151" w:hanging="391"/>
      </w:pPr>
      <w:rPr>
        <w:rFonts w:hint="default"/>
      </w:rPr>
    </w:lvl>
  </w:abstractNum>
  <w:abstractNum w:abstractNumId="1" w15:restartNumberingAfterBreak="0">
    <w:nsid w:val="0CC047B3"/>
    <w:multiLevelType w:val="multilevel"/>
    <w:tmpl w:val="1C02EA30"/>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1D5152D1"/>
    <w:multiLevelType w:val="multilevel"/>
    <w:tmpl w:val="04AC7468"/>
    <w:lvl w:ilvl="0">
      <w:start w:val="1"/>
      <w:numFmt w:val="decimal"/>
      <w:lvlText w:val="%1."/>
      <w:lvlJc w:val="left"/>
      <w:pPr>
        <w:tabs>
          <w:tab w:val="num" w:pos="1440"/>
        </w:tabs>
        <w:ind w:left="2098" w:hanging="1378"/>
      </w:pPr>
      <w:rPr>
        <w:rFonts w:hint="default"/>
      </w:rPr>
    </w:lvl>
    <w:lvl w:ilvl="1">
      <w:start w:val="1"/>
      <w:numFmt w:val="none"/>
      <w:lvlText w:val="10."/>
      <w:lvlJc w:val="left"/>
      <w:pPr>
        <w:ind w:left="850" w:firstLine="210"/>
      </w:pPr>
      <w:rPr>
        <w:rFonts w:hint="default"/>
      </w:rPr>
    </w:lvl>
    <w:lvl w:ilvl="2">
      <w:start w:val="1"/>
      <w:numFmt w:val="decimal"/>
      <w:isLgl/>
      <w:lvlText w:val="%1.%2.%3"/>
      <w:lvlJc w:val="left"/>
      <w:pPr>
        <w:ind w:left="850" w:firstLine="210"/>
      </w:pPr>
      <w:rPr>
        <w:rFonts w:hint="default"/>
      </w:rPr>
    </w:lvl>
    <w:lvl w:ilvl="3">
      <w:start w:val="1"/>
      <w:numFmt w:val="decimal"/>
      <w:isLgl/>
      <w:lvlText w:val="%1.%2.%3.%4"/>
      <w:lvlJc w:val="left"/>
      <w:pPr>
        <w:ind w:left="850" w:firstLine="210"/>
      </w:pPr>
      <w:rPr>
        <w:rFonts w:hint="default"/>
      </w:rPr>
    </w:lvl>
    <w:lvl w:ilvl="4">
      <w:start w:val="1"/>
      <w:numFmt w:val="decimal"/>
      <w:isLgl/>
      <w:lvlText w:val="%1.%2.%3.%4.%5"/>
      <w:lvlJc w:val="left"/>
      <w:pPr>
        <w:ind w:left="850" w:firstLine="210"/>
      </w:pPr>
      <w:rPr>
        <w:rFonts w:hint="default"/>
      </w:rPr>
    </w:lvl>
    <w:lvl w:ilvl="5">
      <w:start w:val="1"/>
      <w:numFmt w:val="decimal"/>
      <w:isLgl/>
      <w:lvlText w:val="%1.%2.%3.%4.%5.%6"/>
      <w:lvlJc w:val="left"/>
      <w:pPr>
        <w:ind w:left="850" w:firstLine="210"/>
      </w:pPr>
      <w:rPr>
        <w:rFonts w:hint="default"/>
      </w:rPr>
    </w:lvl>
    <w:lvl w:ilvl="6">
      <w:start w:val="1"/>
      <w:numFmt w:val="decimal"/>
      <w:isLgl/>
      <w:lvlText w:val="%1.%2.%3.%4.%5.%6.%7"/>
      <w:lvlJc w:val="left"/>
      <w:pPr>
        <w:ind w:left="850" w:firstLine="210"/>
      </w:pPr>
      <w:rPr>
        <w:rFonts w:hint="default"/>
      </w:rPr>
    </w:lvl>
    <w:lvl w:ilvl="7">
      <w:start w:val="1"/>
      <w:numFmt w:val="decimal"/>
      <w:isLgl/>
      <w:lvlText w:val="%1.%2.%3.%4.%5.%6.%7.%8"/>
      <w:lvlJc w:val="left"/>
      <w:pPr>
        <w:ind w:left="850" w:firstLine="210"/>
      </w:pPr>
      <w:rPr>
        <w:rFonts w:hint="default"/>
      </w:rPr>
    </w:lvl>
    <w:lvl w:ilvl="8">
      <w:start w:val="1"/>
      <w:numFmt w:val="decimal"/>
      <w:isLgl/>
      <w:lvlText w:val="%1.%2.%3.%4.%5.%6.%7.%8.%9"/>
      <w:lvlJc w:val="left"/>
      <w:pPr>
        <w:ind w:left="850" w:firstLine="210"/>
      </w:pPr>
      <w:rPr>
        <w:rFonts w:hint="default"/>
      </w:rPr>
    </w:lvl>
  </w:abstractNum>
  <w:abstractNum w:abstractNumId="3" w15:restartNumberingAfterBreak="0">
    <w:nsid w:val="390C4415"/>
    <w:multiLevelType w:val="multilevel"/>
    <w:tmpl w:val="13FE7A0C"/>
    <w:lvl w:ilvl="0">
      <w:start w:val="1"/>
      <w:numFmt w:val="lowerLetter"/>
      <w:lvlText w:val="%1)"/>
      <w:lvlJc w:val="left"/>
      <w:pPr>
        <w:tabs>
          <w:tab w:val="num" w:pos="1440"/>
        </w:tabs>
        <w:ind w:left="1440" w:hanging="360"/>
      </w:pPr>
      <w:rPr>
        <w:rFonts w:hint="default"/>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4" w15:restartNumberingAfterBreak="0">
    <w:nsid w:val="48576799"/>
    <w:multiLevelType w:val="multilevel"/>
    <w:tmpl w:val="D1A439F8"/>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5BF76CAA"/>
    <w:multiLevelType w:val="multilevel"/>
    <w:tmpl w:val="2A0A135A"/>
    <w:lvl w:ilvl="0">
      <w:start w:val="1"/>
      <w:numFmt w:val="lowerLetter"/>
      <w:lvlText w:val="%1)"/>
      <w:lvlJc w:val="left"/>
      <w:pPr>
        <w:tabs>
          <w:tab w:val="num" w:pos="1080"/>
        </w:tabs>
        <w:ind w:left="1080" w:hanging="360"/>
      </w:pPr>
      <w:rPr>
        <w:rFonts w:hint="default"/>
        <w:sz w:val="20"/>
      </w:rPr>
    </w:lvl>
    <w:lvl w:ilvl="1">
      <w:start w:val="11"/>
      <w:numFmt w:val="decimal"/>
      <w:lvlText w:val="%2."/>
      <w:lvlJc w:val="left"/>
      <w:pPr>
        <w:ind w:left="1815" w:hanging="375"/>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691E6E80"/>
    <w:multiLevelType w:val="multilevel"/>
    <w:tmpl w:val="CE44A96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16cid:durableId="778448743">
    <w:abstractNumId w:val="6"/>
  </w:num>
  <w:num w:numId="2" w16cid:durableId="2019111122">
    <w:abstractNumId w:val="2"/>
  </w:num>
  <w:num w:numId="3" w16cid:durableId="686711487">
    <w:abstractNumId w:val="3"/>
  </w:num>
  <w:num w:numId="4" w16cid:durableId="244800487">
    <w:abstractNumId w:val="5"/>
  </w:num>
  <w:num w:numId="5" w16cid:durableId="798454867">
    <w:abstractNumId w:val="4"/>
  </w:num>
  <w:num w:numId="6" w16cid:durableId="1456170577">
    <w:abstractNumId w:val="1"/>
  </w:num>
  <w:num w:numId="7" w16cid:durableId="110442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66C"/>
    <w:rsid w:val="002D336B"/>
    <w:rsid w:val="003B2FDB"/>
    <w:rsid w:val="003B74C0"/>
    <w:rsid w:val="0072266C"/>
    <w:rsid w:val="00B43765"/>
    <w:rsid w:val="00BA70EB"/>
    <w:rsid w:val="00C76375"/>
    <w:rsid w:val="00DF50A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C2B65"/>
  <w15:chartTrackingRefBased/>
  <w15:docId w15:val="{B777296B-5356-4345-BD88-5B09464CB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66C"/>
    <w:pPr>
      <w:spacing w:after="0" w:line="240" w:lineRule="auto"/>
    </w:pPr>
    <w:rPr>
      <w:rFonts w:ascii="Times New Roman" w:eastAsia="Times New Roman" w:hAnsi="Times New Roman" w:cs="Times New Roman"/>
      <w:kern w:val="0"/>
      <w:lang w:val="en-GB"/>
      <w14:ligatures w14:val="none"/>
    </w:rPr>
  </w:style>
  <w:style w:type="paragraph" w:styleId="Heading1">
    <w:name w:val="heading 1"/>
    <w:basedOn w:val="Normal"/>
    <w:next w:val="Normal"/>
    <w:link w:val="Heading1Char"/>
    <w:uiPriority w:val="9"/>
    <w:qFormat/>
    <w:rsid w:val="007226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26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26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26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26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266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266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266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266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26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26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26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26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26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26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26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26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266C"/>
    <w:rPr>
      <w:rFonts w:eastAsiaTheme="majorEastAsia" w:cstheme="majorBidi"/>
      <w:color w:val="272727" w:themeColor="text1" w:themeTint="D8"/>
    </w:rPr>
  </w:style>
  <w:style w:type="paragraph" w:styleId="Title">
    <w:name w:val="Title"/>
    <w:basedOn w:val="Normal"/>
    <w:next w:val="Normal"/>
    <w:link w:val="TitleChar"/>
    <w:uiPriority w:val="10"/>
    <w:qFormat/>
    <w:rsid w:val="007226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26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26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26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266C"/>
    <w:pPr>
      <w:spacing w:before="160"/>
      <w:jc w:val="center"/>
    </w:pPr>
    <w:rPr>
      <w:i/>
      <w:iCs/>
      <w:color w:val="404040" w:themeColor="text1" w:themeTint="BF"/>
    </w:rPr>
  </w:style>
  <w:style w:type="character" w:customStyle="1" w:styleId="QuoteChar">
    <w:name w:val="Quote Char"/>
    <w:basedOn w:val="DefaultParagraphFont"/>
    <w:link w:val="Quote"/>
    <w:uiPriority w:val="29"/>
    <w:rsid w:val="0072266C"/>
    <w:rPr>
      <w:i/>
      <w:iCs/>
      <w:color w:val="404040" w:themeColor="text1" w:themeTint="BF"/>
    </w:rPr>
  </w:style>
  <w:style w:type="paragraph" w:styleId="ListParagraph">
    <w:name w:val="List Paragraph"/>
    <w:basedOn w:val="Normal"/>
    <w:uiPriority w:val="34"/>
    <w:qFormat/>
    <w:rsid w:val="0072266C"/>
    <w:pPr>
      <w:ind w:left="720"/>
      <w:contextualSpacing/>
    </w:pPr>
  </w:style>
  <w:style w:type="character" w:styleId="IntenseEmphasis">
    <w:name w:val="Intense Emphasis"/>
    <w:basedOn w:val="DefaultParagraphFont"/>
    <w:uiPriority w:val="21"/>
    <w:qFormat/>
    <w:rsid w:val="0072266C"/>
    <w:rPr>
      <w:i/>
      <w:iCs/>
      <w:color w:val="0F4761" w:themeColor="accent1" w:themeShade="BF"/>
    </w:rPr>
  </w:style>
  <w:style w:type="paragraph" w:styleId="IntenseQuote">
    <w:name w:val="Intense Quote"/>
    <w:basedOn w:val="Normal"/>
    <w:next w:val="Normal"/>
    <w:link w:val="IntenseQuoteChar"/>
    <w:uiPriority w:val="30"/>
    <w:qFormat/>
    <w:rsid w:val="007226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266C"/>
    <w:rPr>
      <w:i/>
      <w:iCs/>
      <w:color w:val="0F4761" w:themeColor="accent1" w:themeShade="BF"/>
    </w:rPr>
  </w:style>
  <w:style w:type="character" w:styleId="IntenseReference">
    <w:name w:val="Intense Reference"/>
    <w:basedOn w:val="DefaultParagraphFont"/>
    <w:uiPriority w:val="32"/>
    <w:qFormat/>
    <w:rsid w:val="0072266C"/>
    <w:rPr>
      <w:b/>
      <w:bCs/>
      <w:smallCaps/>
      <w:color w:val="0F4761" w:themeColor="accent1" w:themeShade="BF"/>
      <w:spacing w:val="5"/>
    </w:rPr>
  </w:style>
  <w:style w:type="paragraph" w:styleId="BodyTextIndent">
    <w:name w:val="Body Text Indent"/>
    <w:basedOn w:val="Normal"/>
    <w:link w:val="BodyTextIndentChar"/>
    <w:rsid w:val="0072266C"/>
    <w:pPr>
      <w:tabs>
        <w:tab w:val="left" w:pos="-720"/>
      </w:tabs>
      <w:suppressAutoHyphens/>
      <w:ind w:left="720"/>
      <w:jc w:val="both"/>
    </w:pPr>
    <w:rPr>
      <w:b/>
      <w:spacing w:val="-3"/>
      <w:szCs w:val="20"/>
    </w:rPr>
  </w:style>
  <w:style w:type="character" w:customStyle="1" w:styleId="BodyTextIndentChar">
    <w:name w:val="Body Text Indent Char"/>
    <w:basedOn w:val="DefaultParagraphFont"/>
    <w:link w:val="BodyTextIndent"/>
    <w:rsid w:val="0072266C"/>
    <w:rPr>
      <w:rFonts w:ascii="Times New Roman" w:eastAsia="Times New Roman" w:hAnsi="Times New Roman" w:cs="Times New Roman"/>
      <w:b/>
      <w:spacing w:val="-3"/>
      <w:kern w:val="0"/>
      <w:szCs w:val="20"/>
      <w:lang w:val="en-GB"/>
      <w14:ligatures w14:val="none"/>
    </w:rPr>
  </w:style>
  <w:style w:type="paragraph" w:customStyle="1" w:styleId="TableParagraph">
    <w:name w:val="Table Paragraph"/>
    <w:basedOn w:val="Normal"/>
    <w:uiPriority w:val="1"/>
    <w:qFormat/>
    <w:rsid w:val="0072266C"/>
    <w:pPr>
      <w:widowControl w:val="0"/>
      <w:autoSpaceDE w:val="0"/>
      <w:autoSpaceDN w:val="0"/>
      <w:spacing w:before="1"/>
      <w:ind w:left="107"/>
    </w:pPr>
    <w:rPr>
      <w:rFonts w:ascii="SDCC Display" w:eastAsia="SDCC Display" w:hAnsi="SDCC Display" w:cs="SDCC Display"/>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1785</Words>
  <Characters>10181</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O'Hare</dc:creator>
  <cp:keywords/>
  <dc:description/>
  <cp:lastModifiedBy>Lisa O'Hare</cp:lastModifiedBy>
  <cp:revision>2</cp:revision>
  <dcterms:created xsi:type="dcterms:W3CDTF">2026-08-05T13:54:00Z</dcterms:created>
  <dcterms:modified xsi:type="dcterms:W3CDTF">2026-08-05T13:54:00Z</dcterms:modified>
</cp:coreProperties>
</file>